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FF9" w:rsidRPr="00B67FF9" w:rsidRDefault="00B67FF9" w:rsidP="00B67FF9">
      <w:pPr>
        <w:spacing w:after="0" w:line="240" w:lineRule="auto"/>
        <w:ind w:firstLine="709"/>
        <w:jc w:val="both"/>
        <w:outlineLvl w:val="0"/>
        <w:rPr>
          <w:rFonts w:ascii="Times New Roman" w:eastAsia="Times New Roman" w:hAnsi="Times New Roman" w:cs="Times New Roman"/>
          <w:b/>
          <w:color w:val="000000"/>
          <w:sz w:val="28"/>
          <w:szCs w:val="20"/>
          <w:lang w:eastAsia="ru-RU"/>
        </w:rPr>
      </w:pPr>
      <w:r w:rsidRPr="00B67FF9">
        <w:rPr>
          <w:rFonts w:ascii="Times New Roman" w:eastAsia="Times New Roman" w:hAnsi="Times New Roman" w:cs="Times New Roman"/>
          <w:b/>
          <w:color w:val="000000"/>
          <w:sz w:val="28"/>
          <w:szCs w:val="20"/>
          <w:lang w:eastAsia="ru-RU"/>
        </w:rPr>
        <w:t>Изменены правила регистрации гражданина по месту пребывания</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C 1 января 2026 года внесены изменения в пункт 14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утверждённых постановлением Правительства Российской Федерации от 17.07.1995 № 71.</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Согласно изменениям предусмотрена возможность регистрации гражданина по месту пребывания в гостинице, санатории, кемпинге, доме отдыха, пансионате, на туристской базе или в ином подобном учреждении на основании предъявляемого им водительского удостоверения.</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Такая возможность предусмотрена для случаев отсутствия документов, удостоверяющих личность или возможности идентификации гражданина посредством единой системы идентификации и аутентификации.</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r w:rsidRPr="00B67FF9">
        <w:rPr>
          <w:rFonts w:ascii="Times New Roman" w:eastAsia="Times New Roman" w:hAnsi="Times New Roman" w:cs="Times New Roman"/>
          <w:b/>
          <w:color w:val="000000"/>
          <w:sz w:val="28"/>
          <w:szCs w:val="20"/>
          <w:lang w:eastAsia="ru-RU"/>
        </w:rPr>
        <w:t>О порядке исполнения административного наказания в виде обязательных работ</w:t>
      </w: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Федеральным законом от 15.12.2025 № 451-ФЗ внесены изменения в статьи 3.13 и 32.13 Кодекса Российской Федерации об административных правонарушениях.</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Согласно изменениям административное наказание в виде обязательных работ не применяется к женщинам, имеющим детей-инвалидов либо являющимся усыновителями, опекунами или попечителями указанных детей, а также к мужчинам, являющимся одинокими родителями и имеющим детей в возрасте до трех лет и (или) детей-инвалидов либо являющимся единственными усыновителями, опекунами или попечителями указанных детей.</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Кроме того, указанные лица, которым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Судебные приставы-исполнители также наделяются правом обращаться в суд с указанным ходатайством в отношении перечисленных лиц.</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r w:rsidRPr="00B67FF9">
        <w:rPr>
          <w:rFonts w:ascii="Times New Roman" w:eastAsia="Times New Roman" w:hAnsi="Times New Roman" w:cs="Times New Roman"/>
          <w:b/>
          <w:color w:val="000000"/>
          <w:sz w:val="28"/>
          <w:szCs w:val="20"/>
          <w:lang w:eastAsia="ru-RU"/>
        </w:rPr>
        <w:t>Об административной ответственности за нарушение правил перевозки детей в транспортных средствах</w:t>
      </w: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09.01.2026 вступили в законную силу изменения, внесенные Федеральным законом от 29.12.2025 № 525-ФЗ в статью 12.23 Кодекса Российской Федерации об административных нарушениях.</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 указанного времени за перевозку детей без автокресла компаниям и индивидуальным предпринимателям грозит штраф 200 тыс. руб. (ранее 100 тыс. руб.), должностным лицам – 50 тыс. руб. вместо 25 тыс. руб. и водителям 5 тыс. руб. вместо 3 тыс. руб.</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r w:rsidRPr="00B67FF9">
        <w:rPr>
          <w:rFonts w:ascii="Times New Roman" w:eastAsia="Times New Roman" w:hAnsi="Times New Roman" w:cs="Times New Roman"/>
          <w:b/>
          <w:color w:val="000000"/>
          <w:sz w:val="28"/>
          <w:szCs w:val="20"/>
          <w:lang w:eastAsia="ru-RU"/>
        </w:rPr>
        <w:t>О признании брака недействительным</w:t>
      </w: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Согласно статье 28 Семейного кодекса Российской Федерации исковое заявление о признании брака недействительным в суд вправе подать следующие лица:</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Супруг, не знавший о наличии обстоятельств, препятствующих заключению брака, опекун супруга, признанного недееспособным (орган опеки и попечительства), супруг по предыдущему нерасторгнутому браку, другие лица, права которых нарушены заключением такого брака, в частности наследники;</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Прокурор, а также не знавший о фиктивности брака супруг в случае заключения фиктивного брака;</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Супруг, от которого другой супруг скрыл наличие у него венерической болезни или ВИЧ-инфекции.</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Исковое заявление о признании брака недействительным подается в районный суд по месту жительства ответчика.</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r w:rsidRPr="00B67FF9">
        <w:rPr>
          <w:rFonts w:ascii="Times New Roman" w:eastAsia="Times New Roman" w:hAnsi="Times New Roman" w:cs="Times New Roman"/>
          <w:b/>
          <w:color w:val="000000"/>
          <w:sz w:val="28"/>
          <w:szCs w:val="20"/>
          <w:lang w:eastAsia="ru-RU"/>
        </w:rPr>
        <w:t>Ответственность за осквернение воинских захоронений и памятников</w:t>
      </w: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В соответствии со статьей 243.4 Уголовного кодекса Российской Федерации за уничтожение, повреждение либо осквернение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а равно памятников, других мемориальных сооружений или объектов, посвященных лицам, защищавшим Отечество или его интересы, совершенные в целях причинения ущерба историко-культурному значению таких объектов, предусмотрено наказание в виде лишения свободы на срок до 3 лет, либо штраф в размере заработной платы или иного дохода осужденного за период до 3 лет, либо принудительные работы на срок до 3 лет.</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 xml:space="preserve">Более суровое наказание предусмотрено, если указанные деяния совершены группой лиц по предварительному сговору или организованной группой, либо с применением насилия или с угрозой его применения, либо в отношении воинских захоронений, а также мемориальных сооружений или объектов, увековечивающих </w:t>
      </w:r>
      <w:r w:rsidRPr="00B67FF9">
        <w:rPr>
          <w:rFonts w:ascii="Times New Roman" w:eastAsia="Times New Roman" w:hAnsi="Times New Roman" w:cs="Times New Roman"/>
          <w:color w:val="000000"/>
          <w:sz w:val="28"/>
          <w:szCs w:val="20"/>
          <w:lang w:eastAsia="ru-RU"/>
        </w:rPr>
        <w:lastRenderedPageBreak/>
        <w:t>память погибших, а равно защищавших Отечество или его интересы в период Великой Отечественной войны.</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За это виновные лица могут понести наказание в виде лишения свободы на срок до пяти лет, либо в виде штрафа в размере от двух до пяти миллионов рублей или в размере заработной платы или иного дохода осужденного за период от одного года до пяти лет, либо в виде обязательных работ на срок до четырехсот восьмидесяти часов, либо принудительных работ на срок до пяти лет.</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r w:rsidRPr="00B67FF9">
        <w:rPr>
          <w:rFonts w:ascii="Times New Roman" w:eastAsia="Times New Roman" w:hAnsi="Times New Roman" w:cs="Times New Roman"/>
          <w:b/>
          <w:color w:val="000000"/>
          <w:sz w:val="28"/>
          <w:szCs w:val="20"/>
          <w:lang w:eastAsia="ru-RU"/>
        </w:rPr>
        <w:t>Об изменениях, внесенных в законодательство об охране атмосферного воздуха</w:t>
      </w: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Федеральным законом от 28.12.2024 № 548-ФЗ внесены изменения в Федеральный закон «О гидрометеорологической службе» и статьи 1 и 19 Федерального закона «Об охране атмосферного воздуха».</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Подписанным законом прогнозы неблагоприятных метеорологических условий подразделяются на общие и специализированные. Общий прогноз неблагоприятных метеорологических условий отнесен к информации общего назначения, предоставляемой пользователям бесплатно.</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Специализированный прогноз неблагоприятных метеорологических условий отнесен к специализированной информации. Он предоставляется юридическим лицам и индивидуальным предпринимателям, осуществляющим деятельность на объектах I, II и III категорий, на платной основе.</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Юридические лица и индивидуальные предприниматели, осуществляющие деятельность на объектах I категории, имеющих источники выбросов загрязняющих веществ в атмосферный воздух, за исключением объектов, на которых осуществляются регулируемые виды деятельности в сферах электроснабжения, газоснабжения, теплоснабжения, водоснабжения, водоотведения, обращения с ТКО, обязаны иметь специализированный прогноз неблагоприятных метеорологических условий.</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Указанные лица обязаны проводить мероприятия по снижению выбросов загрязняющих веществ в атмосферный воздух, предусмотренные планом мероприятий по снижению выбросов загрязняющих веществ в атмосферный воздух в периоды неблагоприятных метеорологических условий, при поступлении специализированных прогнозов.</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На иных объектах I категории, а также на объектах II и III категорий необходимо проводить мероприятия по снижению выбросов загрязняющих веществ в атмосферный воздух в периоды неблагоприятных метеорологических условий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 xml:space="preserve">Предусмотрено, что специализированный прогноз бесплатно предоставляется органам федерального государственного экологического контроля (надзора) и регионального государственного экологического контроля (надзора), федеральному органу исполнительной власти в области обеспечения безопасности, которые обеспечивают контроль за проведением юридическими </w:t>
      </w:r>
      <w:r w:rsidRPr="00B67FF9">
        <w:rPr>
          <w:rFonts w:ascii="Times New Roman" w:eastAsia="Times New Roman" w:hAnsi="Times New Roman" w:cs="Times New Roman"/>
          <w:color w:val="000000"/>
          <w:sz w:val="28"/>
          <w:szCs w:val="20"/>
          <w:lang w:eastAsia="ru-RU"/>
        </w:rPr>
        <w:lastRenderedPageBreak/>
        <w:t>лицами и индивидуальными предпринимателями мероприятий по снижению выбросов загрязняющих веществ в атмосферный воздух. Изменения вступают в силу с 1 марта 2026 года.</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r w:rsidRPr="00B67FF9">
        <w:rPr>
          <w:rFonts w:ascii="Times New Roman" w:eastAsia="Times New Roman" w:hAnsi="Times New Roman" w:cs="Times New Roman"/>
          <w:b/>
          <w:color w:val="000000"/>
          <w:sz w:val="28"/>
          <w:szCs w:val="20"/>
          <w:lang w:eastAsia="ru-RU"/>
        </w:rPr>
        <w:t>Меры по противодействию коррупции организаций</w:t>
      </w: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Под противодействием коррупции понимается, в том числе деятельность организаций по ее предупреждению (статья 1 Федерального закона от 25.12.2008 № 273-ФЗ «О противодействии коррупции» (далее – Федеральный закон №273-ФЗ)).</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Организации в силу статьи 13.3 Федерального закона №273-ФЗ обязаны разрабатывать и принимать меры по предупреждению коррупции, которые могут включать в себя следующее: определение подразделений или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разработку и внедрение в практику стандартов и процедур, направленных на обеспечение добросовестной работы организации;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В рамках данных требований надлежит разрабатывать и утверждать антикоррупционные документы, такие как, кодекс этики и служебного поведения работников, положение по предотвращению и урегулированию конфликта интересов, а также планы по противодействию коррупции.</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Деятельность организации по предупреждению коррупции должна быть направлена прежде всего на введение элементов корпоративной культуры, правил и процедур, обеспечивающих недопущение коррупционных правонарушений.</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r w:rsidRPr="00B67FF9">
        <w:rPr>
          <w:rFonts w:ascii="Times New Roman" w:eastAsia="Times New Roman" w:hAnsi="Times New Roman" w:cs="Times New Roman"/>
          <w:b/>
          <w:color w:val="000000"/>
          <w:sz w:val="28"/>
          <w:szCs w:val="20"/>
          <w:lang w:eastAsia="ru-RU"/>
        </w:rPr>
        <w:t>С 1 января 2026 года изменились правила рассмотрения апелляционных жалоб в гражданском судопроизводстве</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Внесенными в ГПК РФ изменениями судам апелляционной инстанции передаются полномочия по разрешению вопросов приемлемости апелляционных жалоб. Подавать апелляционную жалобу, как и раньше, необходимо через суд, принявший решение.</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Предусмотрены также следующие нововведения:</w:t>
      </w:r>
    </w:p>
    <w:p w:rsidR="00B67FF9" w:rsidRPr="00B67FF9" w:rsidRDefault="00B67FF9" w:rsidP="00B67FF9">
      <w:pPr>
        <w:numPr>
          <w:ilvl w:val="0"/>
          <w:numId w:val="1"/>
        </w:num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Заявление о восстановлении пропущенного процессуального срока нужно будет подавать в суд апелляционной инстанции. Одновременно с подачей заявления должно быть совершено необходимое процессуальное действие (подана жалоба, представлены документы), в отношении которого пропущен срок;</w:t>
      </w:r>
    </w:p>
    <w:p w:rsidR="00B67FF9" w:rsidRPr="00B67FF9" w:rsidRDefault="00B67FF9" w:rsidP="00B67FF9">
      <w:pPr>
        <w:numPr>
          <w:ilvl w:val="0"/>
          <w:numId w:val="1"/>
        </w:num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Суд рассмотрит указанное заявление в пятидневный срок со дня его поступления без проведения судебного заседания и без извещения лиц, участвующих в деле;</w:t>
      </w:r>
    </w:p>
    <w:p w:rsidR="00B67FF9" w:rsidRPr="00B67FF9" w:rsidRDefault="00B67FF9" w:rsidP="00B67FF9">
      <w:pPr>
        <w:numPr>
          <w:ilvl w:val="0"/>
          <w:numId w:val="1"/>
        </w:num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lastRenderedPageBreak/>
        <w:t>До истечения срока обжалования лица, участвующие в деле, вправе представить возражения относительно апелляционной жалобы в суд первой инстанции, а по истечении срока обжалования – в суд апелляционной инстанции;</w:t>
      </w:r>
    </w:p>
    <w:p w:rsidR="00B67FF9" w:rsidRPr="00B67FF9" w:rsidRDefault="00B67FF9" w:rsidP="00B67FF9">
      <w:pPr>
        <w:numPr>
          <w:ilvl w:val="0"/>
          <w:numId w:val="1"/>
        </w:num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Нельзя будет обжаловать определение о восстановлении пропущенного процессуального срока подачи апелляционной жалобы. Определение об отказе в восстановлении пропущенного процессуального срока можно будет обжаловать в кассационный суд общей юрисдикции, кассационный военный суд.</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r w:rsidRPr="00B67FF9">
        <w:rPr>
          <w:rFonts w:ascii="Times New Roman" w:eastAsia="Times New Roman" w:hAnsi="Times New Roman" w:cs="Times New Roman"/>
          <w:b/>
          <w:color w:val="000000"/>
          <w:sz w:val="28"/>
          <w:szCs w:val="20"/>
          <w:lang w:eastAsia="ru-RU"/>
        </w:rPr>
        <w:t>Есть ли какая-то ответственность за невыполнение требований прокурора и в каком случае она может наступить</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Статьей 17.7 Кодекса Российской Федерации об административных правонарушениях установлена административная ответственность за умышленное невыполнение требований прокурора, вытекающих из его полномочий, установленных федеральным законом.</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Положениями Федерального закона о прокуратуре Российской Федерации определено, что прокурор при осуществлении своих полномочий осуществляет надзор за исполнением законов, в том числе органами местного самоуправления, органами контроля, их должностными лицами, а также органами управления и руководителями коммерческих и некоммерческих организаций; соответствием законам правовых актов, издаваемых перечисленными органами и должностными лицами.</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Прокурор вправе, в том числе требовать от руководителей и других должностных лиц представления необходимых сведений, вызывать должностных лиц и граждан для объяснений по поводу нарушений законов.</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Требования прокурора, вытекающие из его полномочий, подлежат безусловному исполнению в установленный срок. За неисполнение предусмотрен штраф для граждан в размере от 1 до 1,5 тыс. руб., для должностных лиц — от 2 до 3 тыс. руб. либо дисквалификация на срок от 6 месяцев до 1 года; для юридических лиц — от 50 до 100 тыс. руб. либо административное приостановление деятельности на срок до 90 суток.</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r w:rsidRPr="00B67FF9">
        <w:rPr>
          <w:rFonts w:ascii="Times New Roman" w:eastAsia="Times New Roman" w:hAnsi="Times New Roman" w:cs="Times New Roman"/>
          <w:b/>
          <w:color w:val="000000"/>
          <w:sz w:val="28"/>
          <w:szCs w:val="20"/>
          <w:lang w:eastAsia="ru-RU"/>
        </w:rPr>
        <w:t>Как по закону могут наказать гражданина, если он самовольно подключился к электроэнергии?</w:t>
      </w: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Если гражданин потребляет электроэнергию без наличия соответствующего права, его действия могут быть квалифицированы как административное правонарушение.</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Так, ч. 1 ст. 7.19 КоАП РФ за самовольное подключение к электрическим сетям либо самовольное (безучетное) использование электрической энергии, если эти действия не содержат признаков уголовно наказуемого деяния, установлена ответственность для граждан в виде штрафа от 10 до 15 тыс.руб.</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lastRenderedPageBreak/>
        <w:t>В свою очередь за повторное совершение данного правонарушения, выразившегося в самовольном подключении к электрическим сетям либо в самовольном (безучетном) использовании электрической энергии штраф составит от 15 до 30 тыс.руб.</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Помимо штрафа гражданину нужно будет заплатить за весь объем бездоговорного потребления тепловой энергии, теплоносителя и их стоимости.</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r w:rsidRPr="00B67FF9">
        <w:rPr>
          <w:rFonts w:ascii="Times New Roman" w:eastAsia="Times New Roman" w:hAnsi="Times New Roman" w:cs="Times New Roman"/>
          <w:b/>
          <w:color w:val="000000"/>
          <w:sz w:val="28"/>
          <w:szCs w:val="20"/>
          <w:lang w:eastAsia="ru-RU"/>
        </w:rPr>
        <w:t>«Дроппер» как участник мошеннической схемы</w:t>
      </w:r>
    </w:p>
    <w:p w:rsidR="00B67FF9" w:rsidRPr="00B67FF9" w:rsidRDefault="00B67FF9" w:rsidP="00B67FF9">
      <w:pPr>
        <w:spacing w:after="0" w:line="240" w:lineRule="auto"/>
        <w:ind w:firstLine="709"/>
        <w:jc w:val="both"/>
        <w:rPr>
          <w:rFonts w:ascii="Times New Roman" w:eastAsia="Times New Roman" w:hAnsi="Times New Roman" w:cs="Times New Roman"/>
          <w:b/>
          <w:color w:val="000000"/>
          <w:sz w:val="28"/>
          <w:szCs w:val="20"/>
          <w:lang w:eastAsia="ru-RU"/>
        </w:rPr>
      </w:pP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В условиях современного мира разновидность кибермошенничеств – преступлений с использованием IT-технологий, весьма обширна. Данные преступления тщательно спланированы и, как правило, совершаются подготовленной организованной преступной группой на протяжении длительного периода времени. Одним из этапов совершения кибермошенничеств является обналичивание доходов, полученных преступным путем через «дропперов» (сокращенная версия термина – «дропы»).</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Уровень автоматизации процессов в банковской сфере позволяет мошенникам для денежных транзакций использовать банковские счета, открытые на физических лиц («дропов»), и их электронные кошельки. Высокая скорость исполнения денежных транзакций дает возможность мошенникам практически одновременно с переводом денежных средств снимать их через банковские терминалы и смарт-терминалы.</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«Дропер» – (от англ. «to drop» – бросать) подставное физическое или юридическое лицо, используемое в мошеннических схемах обналичивания финансовых средств в качестве посредника.</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Как правило они получают вознаграждение за выполнение определенных поручений по обналичиванию, при этом могут быть введены в заблуждение, не знать о мошенническом характере действий и стать соучастником преступной схемы.</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В целом работа «дропа» заключается в том, что на его банковскую карту поступают средства, которые он должен передать другому участнику цепочки, либо перевести на другой счет, либо обменять на криптовалюту, либо другой наиболее распространённый вариант «дропперства»: человек передает мошенникам свою банковскую карту или предоставляет доступ в личный кабинет интернет-банка.</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Рискам стать «дропом» наиболее подвержены социально-незащищенные слои населения: безработные, пенсионеры, малоимущие, подростки с 14 лет, студенты, а также те, кто остро нуждается в деньгах, ищут «легкий» заработок.</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Вербуются «дропы» в социальных сетях, на сайтах, форумах, объявления могут рассылаться в мессенджерах, а также в офлайне, например, на территориях образовательных организаций.</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 xml:space="preserve">Одним из способов вовлечения в совершение преступления может быть даже просьба у банкомата снять наличные средства под предлогом потери карты: </w:t>
      </w:r>
      <w:r w:rsidRPr="00B67FF9">
        <w:rPr>
          <w:rFonts w:ascii="Times New Roman" w:eastAsia="Times New Roman" w:hAnsi="Times New Roman" w:cs="Times New Roman"/>
          <w:color w:val="000000"/>
          <w:sz w:val="28"/>
          <w:szCs w:val="20"/>
          <w:lang w:eastAsia="ru-RU"/>
        </w:rPr>
        <w:lastRenderedPageBreak/>
        <w:t>злоумышленник переводит деньги на карту жертвы, которая ничего не подозревая, их обналичивает.</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В настоящее время на столбах, подъездах, остановках появились объявления о покупке дебетовых карт. Граждане, думая в том, что передают сведения не кредитной, а дебетовой карты, считают, что защищены от оформления кредитов на свое имя. Желая получить «заработок», передают свои банковские карты, не осознавая меру своей финансовой ответственности, которая зависит от того, какие операции будут проведены по купленным у них банковским картам.</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При этом каждый владелец карты несет ответственность за все совершенные операции, неважно кто их проводит.</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В силу статьи 8 Гражданского кодекса Российской Федерации (далее – ГК РФ) гражданские права и обязанности возникают из неосновательного обогащения.</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Согласно статье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При этом данные правила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По делам о взыскании неосновательного обогащения обязанность доказать наличие законных оснований для приобретения или сбережения такого имущества возлагается на владельца банковской карты.</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Таким образом, «дроппер», передав свою карту злоумышленнику за вознаграждение, рискует стать ответчиком по гражданскому делу о взыскании неосновательного обогащения на всю сумму проведенных финансовых операций по его карте. А в случае осведомленности «дроппера» о преступном характере совершаемых действий по его карте, последний может быть привлечен к уголовной ответственности за совершенное преступление.</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Получение информации о владельце банковского счета для правоохранительных органов не представляет сложности, то есть выявление «дропа» и привлечение его к установленной законодательством ответственности вопрос времени.</w:t>
      </w:r>
    </w:p>
    <w:p w:rsidR="00B67FF9" w:rsidRPr="00B67FF9" w:rsidRDefault="00B67FF9" w:rsidP="00B67FF9">
      <w:pPr>
        <w:widowControl w:val="0"/>
        <w:spacing w:after="0" w:line="240" w:lineRule="auto"/>
        <w:ind w:firstLine="540"/>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 xml:space="preserve">Применительно к деятельности дропперов необходимо особенно выделить </w:t>
      </w:r>
      <w:r w:rsidRPr="00B67FF9">
        <w:rPr>
          <w:rFonts w:ascii="Times New Roman" w:eastAsia="Times New Roman" w:hAnsi="Times New Roman" w:cs="Times New Roman"/>
          <w:color w:val="000000"/>
          <w:sz w:val="28"/>
          <w:szCs w:val="20"/>
          <w:u w:color="000000"/>
          <w:lang w:eastAsia="ru-RU"/>
        </w:rPr>
        <w:t>ч. 3 ст. 187</w:t>
      </w:r>
      <w:r w:rsidRPr="00B67FF9">
        <w:rPr>
          <w:rFonts w:ascii="Times New Roman" w:eastAsia="Times New Roman" w:hAnsi="Times New Roman" w:cs="Times New Roman"/>
          <w:color w:val="000000"/>
          <w:sz w:val="28"/>
          <w:szCs w:val="20"/>
          <w:lang w:eastAsia="ru-RU"/>
        </w:rPr>
        <w:t xml:space="preserve"> УК РФ, которой предусмотрена уголовная ответственность за передачу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(или) доступа к нему другому лицу для осуществления таким лицом неправомерных операций.</w:t>
      </w:r>
    </w:p>
    <w:p w:rsidR="00B67FF9" w:rsidRPr="00B67FF9" w:rsidRDefault="00B67FF9" w:rsidP="00B67FF9">
      <w:pPr>
        <w:widowControl w:val="0"/>
        <w:spacing w:after="0" w:line="240" w:lineRule="auto"/>
        <w:ind w:firstLine="540"/>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 xml:space="preserve">В соответствии с </w:t>
      </w:r>
      <w:r w:rsidRPr="00B67FF9">
        <w:rPr>
          <w:rFonts w:ascii="Times New Roman" w:eastAsia="Times New Roman" w:hAnsi="Times New Roman" w:cs="Times New Roman"/>
          <w:color w:val="000000"/>
          <w:sz w:val="28"/>
          <w:szCs w:val="20"/>
          <w:u w:color="000000"/>
          <w:lang w:eastAsia="ru-RU"/>
        </w:rPr>
        <w:t>ч. 4 ст. 187</w:t>
      </w:r>
      <w:r w:rsidRPr="00B67FF9">
        <w:rPr>
          <w:rFonts w:ascii="Times New Roman" w:eastAsia="Times New Roman" w:hAnsi="Times New Roman" w:cs="Times New Roman"/>
          <w:color w:val="000000"/>
          <w:sz w:val="28"/>
          <w:szCs w:val="20"/>
          <w:lang w:eastAsia="ru-RU"/>
        </w:rPr>
        <w:t xml:space="preserve"> УК РФ уголовная ответственность наступает за осуществление из корыстной заинтересованности клиентом оператора по переводу денежных средств неправомерных операций с использованием электронного средства платежа, предоставленного ему оператором по переводу денежных средств, по указанию другого лица и (или) в интересах такого лица (при отсутствии признаков преступления, предусмотренного </w:t>
      </w:r>
      <w:r w:rsidRPr="00B67FF9">
        <w:rPr>
          <w:rFonts w:ascii="Times New Roman" w:eastAsia="Times New Roman" w:hAnsi="Times New Roman" w:cs="Times New Roman"/>
          <w:color w:val="000000"/>
          <w:sz w:val="28"/>
          <w:szCs w:val="20"/>
          <w:u w:color="000000"/>
          <w:lang w:eastAsia="ru-RU"/>
        </w:rPr>
        <w:t>ст. 172</w:t>
      </w:r>
      <w:r w:rsidRPr="00B67FF9">
        <w:rPr>
          <w:rFonts w:ascii="Times New Roman" w:eastAsia="Times New Roman" w:hAnsi="Times New Roman" w:cs="Times New Roman"/>
          <w:color w:val="000000"/>
          <w:sz w:val="28"/>
          <w:szCs w:val="20"/>
          <w:lang w:eastAsia="ru-RU"/>
        </w:rPr>
        <w:t xml:space="preserve"> УК РФ).</w:t>
      </w:r>
    </w:p>
    <w:p w:rsidR="00B67FF9" w:rsidRPr="00B67FF9" w:rsidRDefault="00B67FF9" w:rsidP="00B67FF9">
      <w:pPr>
        <w:widowControl w:val="0"/>
        <w:spacing w:after="0" w:line="240" w:lineRule="auto"/>
        <w:ind w:firstLine="540"/>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lastRenderedPageBreak/>
        <w:t>Из вышеуказанных норм видно, что обязательным условием для квалификации действий гражданина как дроппера необходимо наличие у него корыстной заинтересованности.</w:t>
      </w:r>
    </w:p>
    <w:p w:rsidR="00B67FF9" w:rsidRPr="00B67FF9" w:rsidRDefault="00B67FF9" w:rsidP="00B67FF9">
      <w:pPr>
        <w:spacing w:after="0" w:line="240" w:lineRule="auto"/>
        <w:ind w:firstLine="709"/>
        <w:jc w:val="both"/>
        <w:rPr>
          <w:rFonts w:ascii="Times New Roman" w:eastAsia="Times New Roman" w:hAnsi="Times New Roman" w:cs="Times New Roman"/>
          <w:color w:val="000000"/>
          <w:sz w:val="28"/>
          <w:szCs w:val="20"/>
          <w:lang w:eastAsia="ru-RU"/>
        </w:rPr>
      </w:pPr>
      <w:r w:rsidRPr="00B67FF9">
        <w:rPr>
          <w:rFonts w:ascii="Times New Roman" w:eastAsia="Times New Roman" w:hAnsi="Times New Roman" w:cs="Times New Roman"/>
          <w:color w:val="000000"/>
          <w:sz w:val="28"/>
          <w:szCs w:val="20"/>
          <w:lang w:eastAsia="ru-RU"/>
        </w:rPr>
        <w:t xml:space="preserve">Также необходимо отметить, что согласно </w:t>
      </w:r>
      <w:r w:rsidRPr="00B67FF9">
        <w:rPr>
          <w:rFonts w:ascii="Times New Roman" w:eastAsia="Times New Roman" w:hAnsi="Times New Roman" w:cs="Times New Roman"/>
          <w:color w:val="000000"/>
          <w:sz w:val="28"/>
          <w:szCs w:val="20"/>
          <w:u w:color="000000"/>
          <w:lang w:eastAsia="ru-RU"/>
        </w:rPr>
        <w:t>примечанию 4 к ст. 187</w:t>
      </w:r>
      <w:r w:rsidRPr="00B67FF9">
        <w:rPr>
          <w:rFonts w:ascii="Times New Roman" w:eastAsia="Times New Roman" w:hAnsi="Times New Roman" w:cs="Times New Roman"/>
          <w:color w:val="000000"/>
          <w:sz w:val="28"/>
          <w:szCs w:val="20"/>
          <w:lang w:eastAsia="ru-RU"/>
        </w:rPr>
        <w:t xml:space="preserve"> УК РФ предусмотрена возможность освобождения дроппера от уголовной ответственности, так как лицо, являющееся клиентом оператора по переводу денежных средств, впервые совершившее преступление, предусмотренное </w:t>
      </w:r>
      <w:r w:rsidRPr="00B67FF9">
        <w:rPr>
          <w:rFonts w:ascii="Times New Roman" w:eastAsia="Times New Roman" w:hAnsi="Times New Roman" w:cs="Times New Roman"/>
          <w:color w:val="000000"/>
          <w:sz w:val="28"/>
          <w:szCs w:val="20"/>
          <w:u w:color="000000"/>
          <w:lang w:eastAsia="ru-RU"/>
        </w:rPr>
        <w:t>ч. 3</w:t>
      </w:r>
      <w:r w:rsidRPr="00B67FF9">
        <w:rPr>
          <w:rFonts w:ascii="Times New Roman" w:eastAsia="Times New Roman" w:hAnsi="Times New Roman" w:cs="Times New Roman"/>
          <w:color w:val="000000"/>
          <w:sz w:val="28"/>
          <w:szCs w:val="20"/>
          <w:lang w:eastAsia="ru-RU"/>
        </w:rPr>
        <w:t xml:space="preserve"> или </w:t>
      </w:r>
      <w:r w:rsidRPr="00B67FF9">
        <w:rPr>
          <w:rFonts w:ascii="Times New Roman" w:eastAsia="Times New Roman" w:hAnsi="Times New Roman" w:cs="Times New Roman"/>
          <w:color w:val="000000"/>
          <w:sz w:val="28"/>
          <w:szCs w:val="20"/>
          <w:u w:color="000000"/>
          <w:lang w:eastAsia="ru-RU"/>
        </w:rPr>
        <w:t>4 ст. 187</w:t>
      </w:r>
      <w:r w:rsidRPr="00B67FF9">
        <w:rPr>
          <w:rFonts w:ascii="Times New Roman" w:eastAsia="Times New Roman" w:hAnsi="Times New Roman" w:cs="Times New Roman"/>
          <w:color w:val="000000"/>
          <w:sz w:val="28"/>
          <w:szCs w:val="20"/>
          <w:lang w:eastAsia="ru-RU"/>
        </w:rPr>
        <w:t xml:space="preserve"> УК РФ, освобождается от уголовной ответственности за его совершение, если активно способствовало его раскрытию и (или) расследованию и добровольно сообщило о лицах, совершивших другие преступления с использованием предоставленного ему оператором по переводу денежных средств электронного средства платежа.</w:t>
      </w:r>
    </w:p>
    <w:p w:rsidR="00D44C34" w:rsidRDefault="00D44C34">
      <w:bookmarkStart w:id="0" w:name="_GoBack"/>
      <w:bookmarkEnd w:id="0"/>
    </w:p>
    <w:sectPr w:rsidR="00D44C34">
      <w:headerReference w:type="default" r:id="rId5"/>
      <w:footerReference w:type="first" r:id="rId6"/>
      <w:pgSz w:w="11906" w:h="16838"/>
      <w:pgMar w:top="680" w:right="567" w:bottom="680" w:left="1418" w:header="720" w:footer="45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ayout w:type="fixed"/>
      <w:tblLook w:val="04A0" w:firstRow="1" w:lastRow="0" w:firstColumn="1" w:lastColumn="0" w:noHBand="0" w:noVBand="1"/>
    </w:tblPr>
    <w:tblGrid>
      <w:gridCol w:w="3643"/>
    </w:tblGrid>
    <w:tr w:rsidR="00446BA8">
      <w:trPr>
        <w:trHeight w:val="57"/>
        <w:jc w:val="right"/>
      </w:trPr>
      <w:tc>
        <w:tcPr>
          <w:tcW w:w="364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446BA8" w:rsidRDefault="00B67FF9">
          <w:pPr>
            <w:spacing w:after="60"/>
            <w:jc w:val="center"/>
            <w:rPr>
              <w:sz w:val="16"/>
            </w:rPr>
          </w:pPr>
          <w:bookmarkStart w:id="1" w:name="SIGNERORG1"/>
          <w:bookmarkStart w:id="2" w:name="_Hlk129696017"/>
          <w:r>
            <w:rPr>
              <w:sz w:val="16"/>
            </w:rPr>
            <w:t>организация</w:t>
          </w:r>
          <w:bookmarkEnd w:id="1"/>
        </w:p>
        <w:p w:rsidR="00446BA8" w:rsidRDefault="00B67FF9">
          <w:pPr>
            <w:spacing w:after="60"/>
            <w:jc w:val="center"/>
          </w:pPr>
          <w:r>
            <w:rPr>
              <w:sz w:val="16"/>
            </w:rPr>
            <w:t xml:space="preserve">№ </w:t>
          </w:r>
          <w:bookmarkStart w:id="3" w:name="REGNUMSTAMP"/>
          <w:r>
            <w:rPr>
              <w:color w:val="BFBFBF"/>
              <w:sz w:val="16"/>
            </w:rPr>
            <w:t>рег.номер</w:t>
          </w:r>
          <w:bookmarkEnd w:id="3"/>
        </w:p>
      </w:tc>
    </w:tr>
    <w:bookmarkEnd w:id="2"/>
  </w:tbl>
  <w:p w:rsidR="00446BA8" w:rsidRDefault="00B67FF9">
    <w:pPr>
      <w:pStyle w:val="a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A8" w:rsidRDefault="00B67FF9">
    <w:pPr>
      <w:pStyle w:val="a3"/>
      <w:jc w:val="center"/>
    </w:pPr>
    <w:r>
      <w:fldChar w:fldCharType="begin"/>
    </w:r>
    <w:r>
      <w:instrText xml:space="preserve">PAGE </w:instrText>
    </w:r>
    <w:r>
      <w:fldChar w:fldCharType="separate"/>
    </w:r>
    <w:r>
      <w:rPr>
        <w:noProof/>
      </w:rPr>
      <w:t>8</w:t>
    </w:r>
    <w:r>
      <w:fldChar w:fldCharType="end"/>
    </w:r>
  </w:p>
  <w:p w:rsidR="00446BA8" w:rsidRDefault="00B67F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A78D2"/>
    <w:multiLevelType w:val="multilevel"/>
    <w:tmpl w:val="B58656AE"/>
    <w:lvl w:ilvl="0">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F9"/>
    <w:rsid w:val="00B67FF9"/>
    <w:rsid w:val="00D44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877E9-3451-40F2-A15F-E36A12F9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rsid w:val="00B67FF9"/>
    <w:pPr>
      <w:widowControl w:val="0"/>
      <w:tabs>
        <w:tab w:val="center" w:pos="4677"/>
        <w:tab w:val="right" w:pos="9355"/>
      </w:tabs>
      <w:spacing w:after="0" w:line="240" w:lineRule="auto"/>
    </w:pPr>
    <w:rPr>
      <w:rFonts w:ascii="Times New Roman" w:eastAsia="Times New Roman" w:hAnsi="Times New Roman" w:cs="Times New Roman"/>
      <w:color w:val="000000"/>
      <w:sz w:val="28"/>
      <w:szCs w:val="20"/>
      <w:lang w:eastAsia="ru-RU"/>
    </w:rPr>
  </w:style>
  <w:style w:type="character" w:customStyle="1" w:styleId="a4">
    <w:name w:val="Верхний колонтитул Знак"/>
    <w:basedOn w:val="a0"/>
    <w:uiPriority w:val="99"/>
    <w:semiHidden/>
    <w:rsid w:val="00B67FF9"/>
  </w:style>
  <w:style w:type="character" w:customStyle="1" w:styleId="1">
    <w:name w:val="Верхний колонтитул Знак1"/>
    <w:basedOn w:val="a0"/>
    <w:link w:val="a3"/>
    <w:rsid w:val="00B67FF9"/>
    <w:rPr>
      <w:rFonts w:ascii="Times New Roman" w:eastAsia="Times New Roman" w:hAnsi="Times New Roman" w:cs="Times New Roman"/>
      <w:color w:val="000000"/>
      <w:sz w:val="28"/>
      <w:szCs w:val="20"/>
      <w:lang w:eastAsia="ru-RU"/>
    </w:rPr>
  </w:style>
  <w:style w:type="paragraph" w:styleId="a5">
    <w:name w:val="footer"/>
    <w:basedOn w:val="a"/>
    <w:link w:val="10"/>
    <w:rsid w:val="00B67FF9"/>
    <w:pPr>
      <w:widowControl w:val="0"/>
      <w:tabs>
        <w:tab w:val="center" w:pos="4677"/>
        <w:tab w:val="right" w:pos="9355"/>
      </w:tabs>
      <w:spacing w:after="0" w:line="240" w:lineRule="auto"/>
    </w:pPr>
    <w:rPr>
      <w:rFonts w:ascii="Times New Roman" w:eastAsia="Times New Roman" w:hAnsi="Times New Roman" w:cs="Times New Roman"/>
      <w:color w:val="000000"/>
      <w:sz w:val="28"/>
      <w:szCs w:val="20"/>
      <w:lang w:eastAsia="ru-RU"/>
    </w:rPr>
  </w:style>
  <w:style w:type="character" w:customStyle="1" w:styleId="a6">
    <w:name w:val="Нижний колонтитул Знак"/>
    <w:basedOn w:val="a0"/>
    <w:uiPriority w:val="99"/>
    <w:semiHidden/>
    <w:rsid w:val="00B67FF9"/>
  </w:style>
  <w:style w:type="character" w:customStyle="1" w:styleId="10">
    <w:name w:val="Нижний колонтитул Знак1"/>
    <w:basedOn w:val="a0"/>
    <w:link w:val="a5"/>
    <w:rsid w:val="00B67FF9"/>
    <w:rPr>
      <w:rFonts w:ascii="Times New Roman" w:eastAsia="Times New Roman"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2778</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Лобач</dc:creator>
  <cp:keywords/>
  <dc:description/>
  <cp:lastModifiedBy>Лобач</cp:lastModifiedBy>
  <cp:revision>1</cp:revision>
  <dcterms:created xsi:type="dcterms:W3CDTF">2026-04-28T11:31:00Z</dcterms:created>
  <dcterms:modified xsi:type="dcterms:W3CDTF">2026-04-28T11:32:00Z</dcterms:modified>
</cp:coreProperties>
</file>