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B09" w:rsidRDefault="002E3B09" w:rsidP="002E3B09">
      <w:pPr>
        <w:pStyle w:val="1"/>
        <w:widowControl/>
        <w:spacing w:before="0" w:after="0" w:line="240" w:lineRule="auto"/>
        <w:ind w:firstLine="709"/>
        <w:rPr>
          <w:rFonts w:ascii="Times New Roman" w:hAnsi="Times New Roman"/>
          <w:sz w:val="28"/>
        </w:rPr>
      </w:pPr>
      <w:r>
        <w:rPr>
          <w:rFonts w:ascii="Times New Roman" w:hAnsi="Times New Roman"/>
          <w:sz w:val="28"/>
        </w:rPr>
        <w:t>Ответственность за правонарушения в сфере экстремизма</w:t>
      </w:r>
    </w:p>
    <w:p w:rsidR="002E3B09" w:rsidRDefault="002E3B09" w:rsidP="002E3B09"/>
    <w:p w:rsidR="002E3B09" w:rsidRDefault="002E3B09" w:rsidP="002E3B09">
      <w:pPr>
        <w:widowControl/>
        <w:ind w:firstLine="709"/>
        <w:jc w:val="both"/>
      </w:pPr>
      <w:r>
        <w:t>Противодействие экстремистской деятельности, в том числе распространение экстремистских идей среди несовершеннолетних, особенно легко подающихся негативному влиянию – одно из основных направлений работы органов прокуратуры.</w:t>
      </w:r>
    </w:p>
    <w:p w:rsidR="002E3B09" w:rsidRDefault="002E3B09" w:rsidP="002E3B09">
      <w:pPr>
        <w:widowControl/>
        <w:ind w:firstLine="709"/>
        <w:jc w:val="both"/>
      </w:pPr>
      <w:r>
        <w:t>Правовой основой работы в указанном направлении является Федеральный закон от 25.07.2002 № 114-ФЗ «О противодействии экстремистской деятельности».</w:t>
      </w:r>
    </w:p>
    <w:p w:rsidR="002E3B09" w:rsidRDefault="002E3B09" w:rsidP="002E3B09">
      <w:pPr>
        <w:widowControl/>
        <w:ind w:firstLine="709"/>
        <w:jc w:val="both"/>
      </w:pPr>
      <w:r>
        <w:t>В силу требований указанного выше закона на территории России запрещается распространение экстремистских материалов, а также их производство или хранение в целях распространения. Осуществление указанных действий влечет за собой ответственность: как административную, так и уголовную.</w:t>
      </w:r>
    </w:p>
    <w:p w:rsidR="002E3B09" w:rsidRDefault="002E3B09" w:rsidP="002E3B09">
      <w:pPr>
        <w:widowControl/>
        <w:ind w:firstLine="709"/>
        <w:jc w:val="both"/>
      </w:pPr>
      <w:r>
        <w:t>Административная ответственность для лиц, достигших шестнадцати лет, установлена ст.ст. 20.3, 20.3.1, 20.29 КоАП РФ за пропаганду либо публичное демонстрирование, изготовление, а также за сбыт в целях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а также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возбуждение ненависти либо вражды или унижение человеческого достоинства.</w:t>
      </w:r>
    </w:p>
    <w:p w:rsidR="002E3B09" w:rsidRDefault="002E3B09" w:rsidP="002E3B09">
      <w:pPr>
        <w:widowControl/>
        <w:ind w:firstLine="709"/>
        <w:jc w:val="both"/>
      </w:pPr>
      <w:r>
        <w:t>В случае совершения указанных правонарушений к несовершеннолетнему правонарушителю может быть применено наказание в виде административного штрафа в размере от одной тысячи до двадцати тысяч рублей.</w:t>
      </w:r>
    </w:p>
    <w:p w:rsidR="002E3B09" w:rsidRDefault="002E3B09" w:rsidP="002E3B09">
      <w:pPr>
        <w:widowControl/>
        <w:ind w:firstLine="709"/>
        <w:jc w:val="both"/>
      </w:pPr>
      <w:r>
        <w:t>Уголовным законодательством предусмотрена ответственность за публичные призывы к осуществлению экстремистской деятельности (ст. 280 УК РФ), предоставление или сбор средств, оказание финансовых услуг, заведомо предназначенных для финансирования организации, подготовки и совершения преступлений экстремистской направленности (ст. 282.3 УК РФ).</w:t>
      </w:r>
    </w:p>
    <w:p w:rsidR="002E3B09" w:rsidRDefault="002E3B09" w:rsidP="002E3B09">
      <w:pPr>
        <w:widowControl/>
        <w:ind w:firstLine="709"/>
        <w:jc w:val="both"/>
      </w:pPr>
      <w:r>
        <w:t>За совершение указанных преступлений виновное лицо, не достишее восемнадцати лет, может быть привлечено к уголовной ответственности, минимальный порог которой начинается с уголовного штрафа максимальным размером в 50 тысяч рублей. Вместе с тем, виновному лицу судом может быть назначено наказание в виде лишения свободы сроком до 5 лет.</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Проявления экстремизма</w:t>
      </w:r>
    </w:p>
    <w:p w:rsidR="002E3B09" w:rsidRDefault="002E3B09" w:rsidP="002E3B09">
      <w:pPr>
        <w:widowControl/>
        <w:ind w:firstLine="709"/>
        <w:jc w:val="both"/>
      </w:pPr>
    </w:p>
    <w:p w:rsidR="002E3B09" w:rsidRDefault="002E3B09" w:rsidP="002E3B09">
      <w:pPr>
        <w:widowControl/>
        <w:ind w:firstLine="709"/>
        <w:jc w:val="both"/>
      </w:pPr>
      <w:r>
        <w:t xml:space="preserve">Экстремизм, и его крайняя форма – терроризм – представляют собой одну из самых опасных угроз для стабильного развития общества и государства.  </w:t>
      </w:r>
    </w:p>
    <w:p w:rsidR="002E3B09" w:rsidRDefault="002E3B09" w:rsidP="002E3B09">
      <w:pPr>
        <w:widowControl/>
        <w:ind w:firstLine="709"/>
        <w:jc w:val="both"/>
      </w:pPr>
      <w:r>
        <w:t>Противодействие экстремизму и терроризму осуществляется на федеральном, региональном и местном уровнях.</w:t>
      </w:r>
    </w:p>
    <w:p w:rsidR="002E3B09" w:rsidRDefault="002E3B09" w:rsidP="002E3B09">
      <w:pPr>
        <w:widowControl/>
        <w:ind w:firstLine="709"/>
        <w:jc w:val="both"/>
      </w:pPr>
      <w:r>
        <w:t>В соответствии с Федеральным законом от 25.07.2002 № 114-ФЗ «О противодействии экстремистской деятельности» экстремизм (экстремистская деятельность) это:</w:t>
      </w:r>
    </w:p>
    <w:p w:rsidR="002E3B09" w:rsidRDefault="002E3B09" w:rsidP="002E3B09">
      <w:pPr>
        <w:numPr>
          <w:ilvl w:val="0"/>
          <w:numId w:val="1"/>
        </w:numPr>
        <w:ind w:left="0" w:firstLine="709"/>
        <w:jc w:val="both"/>
      </w:pPr>
      <w: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2E3B09" w:rsidRDefault="002E3B09" w:rsidP="002E3B09">
      <w:pPr>
        <w:numPr>
          <w:ilvl w:val="0"/>
          <w:numId w:val="2"/>
        </w:numPr>
        <w:ind w:left="0" w:firstLine="709"/>
        <w:jc w:val="both"/>
      </w:pPr>
      <w:r>
        <w:t>публичное оправдание терроризма и иная террористическая деятельность;</w:t>
      </w:r>
    </w:p>
    <w:p w:rsidR="002E3B09" w:rsidRDefault="002E3B09" w:rsidP="002E3B09">
      <w:pPr>
        <w:numPr>
          <w:ilvl w:val="0"/>
          <w:numId w:val="3"/>
        </w:numPr>
        <w:ind w:left="0" w:firstLine="709"/>
        <w:jc w:val="both"/>
      </w:pPr>
      <w:r>
        <w:t>возбуждение социальной, расовой, национальной или религиозной розни;</w:t>
      </w:r>
    </w:p>
    <w:p w:rsidR="002E3B09" w:rsidRDefault="002E3B09" w:rsidP="002E3B09">
      <w:pPr>
        <w:numPr>
          <w:ilvl w:val="0"/>
          <w:numId w:val="4"/>
        </w:numPr>
        <w:ind w:left="0" w:firstLine="709"/>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E3B09" w:rsidRDefault="002E3B09" w:rsidP="002E3B09">
      <w:pPr>
        <w:numPr>
          <w:ilvl w:val="0"/>
          <w:numId w:val="5"/>
        </w:numPr>
        <w:ind w:left="0" w:firstLine="709"/>
        <w:jc w:val="both"/>
      </w:pPr>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w:t>
      </w:r>
    </w:p>
    <w:p w:rsidR="002E3B09" w:rsidRDefault="002E3B09" w:rsidP="002E3B09">
      <w:pPr>
        <w:numPr>
          <w:ilvl w:val="0"/>
          <w:numId w:val="5"/>
        </w:numPr>
        <w:ind w:left="0" w:firstLine="709"/>
        <w:jc w:val="both"/>
      </w:pPr>
      <w:r>
        <w:t>организация и подготовка указанных деяний, а также подстрекательство к их осуществлению;</w:t>
      </w:r>
    </w:p>
    <w:p w:rsidR="002E3B09" w:rsidRDefault="002E3B09" w:rsidP="002E3B09">
      <w:pPr>
        <w:numPr>
          <w:ilvl w:val="0"/>
          <w:numId w:val="5"/>
        </w:numPr>
        <w:ind w:left="0" w:firstLine="709"/>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и др.</w:t>
      </w:r>
    </w:p>
    <w:p w:rsidR="002E3B09" w:rsidRDefault="002E3B09" w:rsidP="002E3B09">
      <w:pPr>
        <w:widowControl/>
        <w:ind w:firstLine="709"/>
        <w:jc w:val="both"/>
      </w:pPr>
      <w:r>
        <w:t>За осуществление экстремистской деятельности граждане РФ,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РФ порядке.</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Об изменениях законодательства о пчеловодстве и пестицидах</w:t>
      </w:r>
    </w:p>
    <w:p w:rsidR="002E3B09" w:rsidRDefault="002E3B09" w:rsidP="002E3B09">
      <w:pPr>
        <w:widowControl/>
        <w:ind w:firstLine="709"/>
        <w:jc w:val="both"/>
        <w:rPr>
          <w:b/>
        </w:rPr>
      </w:pPr>
    </w:p>
    <w:p w:rsidR="002E3B09" w:rsidRDefault="002E3B09" w:rsidP="002E3B09">
      <w:pPr>
        <w:widowControl/>
        <w:ind w:firstLine="709"/>
        <w:jc w:val="both"/>
      </w:pPr>
      <w:r>
        <w:t>Федеральным законом от 15.12.2025 № 480-ФЗ внесены изменения в статью 16 Федерального закона от 30.12.2020 № 490-ФЗ «О пчеловодстве в Российской Федерации» и статью 22 Федерального закона от 19.07.1997 № 109-ФЗ «О безопасном обращении с пестицидами и агрохимикатами».</w:t>
      </w:r>
    </w:p>
    <w:p w:rsidR="002E3B09" w:rsidRDefault="002E3B09" w:rsidP="002E3B09">
      <w:pPr>
        <w:widowControl/>
        <w:ind w:firstLine="709"/>
        <w:jc w:val="both"/>
      </w:pPr>
      <w:r>
        <w:t>Вышеуказанными изменениями определены мероприятия, направленные на сохранение пчел.</w:t>
      </w:r>
    </w:p>
    <w:p w:rsidR="002E3B09" w:rsidRDefault="002E3B09" w:rsidP="002E3B09">
      <w:pPr>
        <w:widowControl/>
        <w:ind w:firstLine="709"/>
        <w:jc w:val="both"/>
      </w:pPr>
      <w:r>
        <w:t xml:space="preserve">В частности, лица, запланировавшие применение пестицидов, информируют о таком применении не ранее чем за десять календарных дней и не позднее чем за </w:t>
      </w:r>
      <w:r>
        <w:lastRenderedPageBreak/>
        <w:t>пять календарных дней до их применения,  физических и юридических лиц, осуществляющих пчеловодство на территориях, расположенных на расстоянии до 7 километров от границ земель и земельных участков, на которых запланировано применение пестицидов.</w:t>
      </w:r>
    </w:p>
    <w:p w:rsidR="002E3B09" w:rsidRDefault="002E3B09" w:rsidP="002E3B09">
      <w:pPr>
        <w:widowControl/>
        <w:ind w:firstLine="709"/>
        <w:jc w:val="both"/>
      </w:pPr>
      <w:r>
        <w:t>Информирование о применении пестицидов осуществляется через средства массовой информации, а также путем размещения в Федеральной государственной информационной системе прослеживаемости пестицидов и агрохимикатов информации, при этом названная информация должна содержать следующие сведения: наименование запланированных к применению пестицидов; кадастровый номер, адрес либо местоположение земельного участка, где запланировано применение пестицидов; дата проведения запланированных работ по применению пестицидов; способ применения пестицидов; рекомендуемые сроки изоляции пчел в ульях.</w:t>
      </w:r>
    </w:p>
    <w:p w:rsidR="002E3B09" w:rsidRDefault="002E3B09" w:rsidP="002E3B09">
      <w:pPr>
        <w:widowControl/>
        <w:ind w:firstLine="709"/>
        <w:jc w:val="both"/>
      </w:pPr>
      <w:r>
        <w:t>Вышеуказанные изменения вступили в силу с 1 марта 2026 года.</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Об изменениях законодательства о государственном контроле (надзоре)</w:t>
      </w:r>
    </w:p>
    <w:p w:rsidR="002E3B09" w:rsidRDefault="002E3B09" w:rsidP="002E3B09">
      <w:pPr>
        <w:widowControl/>
        <w:ind w:firstLine="709"/>
        <w:jc w:val="both"/>
      </w:pPr>
    </w:p>
    <w:p w:rsidR="002E3B09" w:rsidRDefault="002E3B09" w:rsidP="002E3B09">
      <w:pPr>
        <w:widowControl/>
        <w:ind w:firstLine="709"/>
        <w:jc w:val="both"/>
      </w:pPr>
      <w:r>
        <w:t>Федеральным законом от 29.12.2025 № 567-ФЗ внесены изменения в Федеральный закон от 31.07.2020 № 248-ФЗ «О государственном контроле (надзоре) и муниципальном контроле в Российской Федерации».</w:t>
      </w:r>
    </w:p>
    <w:p w:rsidR="002E3B09" w:rsidRDefault="002E3B09" w:rsidP="002E3B09">
      <w:pPr>
        <w:widowControl/>
        <w:ind w:firstLine="709"/>
        <w:jc w:val="both"/>
      </w:pPr>
      <w:r>
        <w:t>Законодателем определено, что с 01.01.2026 от органов контроля (надзора) не требуется формирование отдельного документа при принятии решений о проведении профилактического визита или контрольных (надзорных) мероприятий с взаимодействием с контролируемым лицом, об объявлении предостережения. Также не предусмотрено составление актов о результатах таких мероприятий, в том числе о невозможности их проведения, выданных предписаниях.</w:t>
      </w:r>
    </w:p>
    <w:p w:rsidR="002E3B09" w:rsidRDefault="002E3B09" w:rsidP="002E3B09">
      <w:pPr>
        <w:widowControl/>
        <w:ind w:firstLine="709"/>
        <w:jc w:val="both"/>
      </w:pPr>
      <w:r>
        <w:t>С указанного времени названные решения и документы оформляются путём размещения сведений о них в ФГИС «Единый реестр контрольных (надзорных) мероприятий» и их подписания.</w:t>
      </w:r>
    </w:p>
    <w:p w:rsidR="002E3B09" w:rsidRDefault="002E3B09" w:rsidP="002E3B09">
      <w:pPr>
        <w:widowControl/>
        <w:ind w:firstLine="709"/>
        <w:jc w:val="both"/>
      </w:pPr>
      <w:r>
        <w:t>Кроме того, установлено, что в случае замены планового контрольного (надзорного) мероприятия обязательным профилактическим визитом он может быть проведён не более 1 раза в год.</w:t>
      </w:r>
    </w:p>
    <w:p w:rsidR="002E3B09" w:rsidRDefault="002E3B09" w:rsidP="002E3B09">
      <w:pPr>
        <w:widowControl/>
        <w:ind w:firstLine="709"/>
        <w:jc w:val="both"/>
      </w:pPr>
      <w:r>
        <w:t>Внесёнными изменениями предусмотрено право контролируемого лица на принесение возражений относительного объявленного предостережения, направление документов для проведения документарной проверки с использованием единого портала государственных и муниципальных услуг или регионального портала государственных и муниципальных услуг (далее – портал).</w:t>
      </w:r>
    </w:p>
    <w:p w:rsidR="002E3B09" w:rsidRDefault="002E3B09" w:rsidP="002E3B09">
      <w:pPr>
        <w:widowControl/>
        <w:ind w:firstLine="709"/>
        <w:jc w:val="both"/>
      </w:pPr>
      <w:r>
        <w:t>Посредством портала и мобильного приложения «Инспектор» теперь также может осуществляться консультирование контролируемого лица по вопросам осуществления данного вида контроля (надзора).</w:t>
      </w:r>
    </w:p>
    <w:p w:rsidR="002E3B09" w:rsidRDefault="002E3B09" w:rsidP="002E3B09">
      <w:pPr>
        <w:widowControl/>
        <w:ind w:firstLine="709"/>
        <w:jc w:val="both"/>
      </w:pPr>
      <w:r>
        <w:t>Расширены способы проведения контрольных (надзорных) мероприятий без взаимодействия с контролируемым лицом – выездное обследование может проводиться с использованием беспилотных аппаратов.</w:t>
      </w:r>
    </w:p>
    <w:p w:rsidR="002E3B09" w:rsidRDefault="002E3B09" w:rsidP="002E3B09">
      <w:pPr>
        <w:widowControl/>
        <w:ind w:firstLine="709"/>
        <w:jc w:val="both"/>
      </w:pPr>
      <w:r>
        <w:lastRenderedPageBreak/>
        <w:t>Факты нарушений обязательных требований, выявленные с использованием средств, работающих в автоматическом режиме, имеющих функции фотосъемки, видеозаписи, в том числе беспилотных аппаратов (систем), являются отдельным основанием для проведения внепланового контрольного (надзорного) мероприятия по согласованию с органами прокуратуры.</w:t>
      </w:r>
    </w:p>
    <w:p w:rsidR="002E3B09" w:rsidRDefault="002E3B09" w:rsidP="002E3B09">
      <w:pPr>
        <w:widowControl/>
        <w:ind w:firstLine="709"/>
        <w:jc w:val="both"/>
      </w:pPr>
      <w:r>
        <w:t>Одновременно с этим Федеральным законом от 29.12.2025 № 548-ФЗ действие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продлено до 31.12.2028.</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Льготы при оплате госпошлины</w:t>
      </w:r>
    </w:p>
    <w:p w:rsidR="002E3B09" w:rsidRDefault="002E3B09" w:rsidP="002E3B09">
      <w:pPr>
        <w:widowControl/>
        <w:ind w:firstLine="709"/>
        <w:jc w:val="both"/>
      </w:pPr>
    </w:p>
    <w:p w:rsidR="002E3B09" w:rsidRDefault="002E3B09" w:rsidP="002E3B09">
      <w:pPr>
        <w:widowControl/>
        <w:ind w:firstLine="709"/>
        <w:jc w:val="both"/>
      </w:pPr>
      <w:r>
        <w:t>Согласно принятому Федеральному закону от 20.02.2026 № 40-ФЗ  «О внесении изменений в статьи 333.35 и 333.36 части второй Налогового кодекса Российской Федерации», государственная пошлина не уплачивается за выдачу взамен утраченных паспорта гражданина РФ или национального водительского удостоверения принимавшим участие в специальной военной операции волонтерам, осуществляющим свою деятельность в соответствии с Указом Президента Российской Федерации от 30.04. 2022 № 247 «О поддержке волонтерской деятельности на территориях отдельных субъектов Российской Федерации».</w:t>
      </w:r>
    </w:p>
    <w:p w:rsidR="002E3B09" w:rsidRDefault="002E3B09" w:rsidP="002E3B09">
      <w:pPr>
        <w:widowControl/>
        <w:ind w:firstLine="709"/>
        <w:jc w:val="both"/>
      </w:pPr>
      <w:r>
        <w:t>Также от уплаты государственной пошлины освобождены административные истцы, относящиеся к лицам, указанным в абзацах втором — двадцатом подпункта 24 пункта 1 статьи 333.36 Налогового кодекса РФ (в т.ч. ветераны боевых действий, участники СВО, члены их семей), при обращении в суд в порядке, установленном главой 22 КоАП РФ.</w:t>
      </w:r>
    </w:p>
    <w:p w:rsidR="002E3B09" w:rsidRDefault="002E3B09" w:rsidP="002E3B09">
      <w:pPr>
        <w:widowControl/>
        <w:ind w:firstLine="709"/>
        <w:jc w:val="both"/>
      </w:pPr>
      <w:r>
        <w:t>Кроме того, от уплаты государственной пошлины освобождены религиозные организации за госрегистрацию права собственности на недвижимое имущество и договоров безвозмездного пользования недвижимым имуществом при его передаче религиозным организациям.</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Кредитные и микрофинансовые организации обязаны представлять отчет о деятельности по возврату просроченной задолженности</w:t>
      </w:r>
    </w:p>
    <w:p w:rsidR="002E3B09" w:rsidRDefault="002E3B09" w:rsidP="002E3B09">
      <w:pPr>
        <w:widowControl/>
        <w:ind w:firstLine="709"/>
        <w:jc w:val="both"/>
      </w:pPr>
    </w:p>
    <w:p w:rsidR="002E3B09" w:rsidRDefault="002E3B09" w:rsidP="002E3B09">
      <w:pPr>
        <w:widowControl/>
        <w:ind w:firstLine="709"/>
        <w:jc w:val="both"/>
      </w:pPr>
      <w:r>
        <w:t>Федеральным законом от 11.02.2026 № 20-ФЗ внесены изменения в статью 17.1 Федерального закона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согласно которым кредитные и микрофинансовые организации обязаны представлять в уполномоченный орган отчет о деятельности по возврату просроченной задолженности.</w:t>
      </w:r>
    </w:p>
    <w:p w:rsidR="002E3B09" w:rsidRDefault="002E3B09" w:rsidP="002E3B09">
      <w:pPr>
        <w:widowControl/>
        <w:ind w:firstLine="709"/>
        <w:jc w:val="both"/>
      </w:pPr>
      <w:r>
        <w:lastRenderedPageBreak/>
        <w:t>Порядок, форму, сроки и периодичность представления такого отчета определит уполномоченный орган по согласованию с Банком России.</w:t>
      </w:r>
    </w:p>
    <w:p w:rsidR="002E3B09" w:rsidRDefault="002E3B09" w:rsidP="002E3B09">
      <w:pPr>
        <w:widowControl/>
        <w:ind w:firstLine="709"/>
        <w:jc w:val="both"/>
      </w:pPr>
      <w:r>
        <w:t>Федеральный закон вступает в силу с 1 сентября 2026 года.</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Внесены изменения в антикоррупционное законодательство</w:t>
      </w:r>
    </w:p>
    <w:p w:rsidR="002E3B09" w:rsidRDefault="002E3B09" w:rsidP="002E3B09">
      <w:pPr>
        <w:widowControl/>
        <w:ind w:firstLine="709"/>
        <w:jc w:val="both"/>
      </w:pPr>
    </w:p>
    <w:p w:rsidR="002E3B09" w:rsidRDefault="002E3B09" w:rsidP="002E3B09">
      <w:pPr>
        <w:widowControl/>
        <w:ind w:firstLine="709"/>
        <w:jc w:val="both"/>
      </w:pPr>
      <w:r>
        <w:t>Федеральным законом от 28.12.2025 № 505-ФЗ «О внесении изменений в отдельные законодательные акты Российской Федерации» существенно изменено антикоррупционное законодательство.</w:t>
      </w:r>
    </w:p>
    <w:p w:rsidR="002E3B09" w:rsidRDefault="002E3B09" w:rsidP="002E3B09">
      <w:pPr>
        <w:widowControl/>
        <w:ind w:firstLine="709"/>
        <w:jc w:val="both"/>
      </w:pPr>
      <w:r>
        <w:t>С 1 января 2026 года отменены положения, устанавливающие требования о размещении представленных обязанность размещения лицами, замещающими муниципальные должности сведения о доходах, расходах, об имуществе и обязательствах имущественного характера в информационно телекоммуникационной сети «Интернет».</w:t>
      </w:r>
    </w:p>
    <w:p w:rsidR="002E3B09" w:rsidRDefault="002E3B09" w:rsidP="002E3B09">
      <w:pPr>
        <w:widowControl/>
        <w:ind w:firstLine="709"/>
        <w:jc w:val="both"/>
      </w:pPr>
      <w:r>
        <w:t>Также, указанным законом введена статья 8.3 в Федеральный закон от 25.12.2008 № 273-ФЗ «О противодействии коррупции», согласно которой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 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указанным законом.</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Уточнен порядок включения в страховой стаж периодов ухода за детьми до 1,5 лет</w:t>
      </w:r>
    </w:p>
    <w:p w:rsidR="002E3B09" w:rsidRDefault="002E3B09" w:rsidP="002E3B09">
      <w:pPr>
        <w:widowControl/>
        <w:ind w:firstLine="709"/>
        <w:jc w:val="both"/>
      </w:pPr>
    </w:p>
    <w:p w:rsidR="002E3B09" w:rsidRDefault="002E3B09" w:rsidP="002E3B09">
      <w:pPr>
        <w:widowControl/>
        <w:ind w:firstLine="709"/>
        <w:jc w:val="both"/>
      </w:pPr>
      <w:r>
        <w:t>Постановлением Правительства Российской Федерации от 19.01.2026 №11 «О внесении изменений в некоторые акты Правительства Российской Федерации» уточнены порядок включения в страховой стаж периодов ухода за детьми до 1,5 лет, а также правила исчисления «сельского» стажа, дающего право на повышение фиксированной выплаты к страховой пенсии.</w:t>
      </w:r>
    </w:p>
    <w:p w:rsidR="002E3B09" w:rsidRDefault="002E3B09" w:rsidP="002E3B09">
      <w:pPr>
        <w:widowControl/>
        <w:ind w:firstLine="709"/>
        <w:jc w:val="both"/>
      </w:pPr>
      <w:r>
        <w:t>Согласно внесенным поправкам в страховой стаж одному из родителей засчитываются периоды ухода за каждым ребенком до 1,5 лет без верхнего ограничения, предусмотренного ранее (не более 6 лет в общей сложности).</w:t>
      </w:r>
    </w:p>
    <w:p w:rsidR="002E3B09" w:rsidRDefault="002E3B09" w:rsidP="002E3B09">
      <w:pPr>
        <w:widowControl/>
        <w:ind w:firstLine="709"/>
        <w:jc w:val="both"/>
      </w:pPr>
      <w:r>
        <w:t>Кроме того, в случае многоплодной беременности периоды ухода одного из родителей за каждым ребенком до 1,5 лет теперь должны суммироваться с учетом их фактической продолжительности.</w:t>
      </w:r>
    </w:p>
    <w:p w:rsidR="002E3B09" w:rsidRDefault="002E3B09" w:rsidP="002E3B09">
      <w:pPr>
        <w:widowControl/>
        <w:ind w:firstLine="709"/>
        <w:jc w:val="both"/>
      </w:pPr>
      <w:r>
        <w:t xml:space="preserve">Также внесены уточнения в правила исчисления периодов работы в сельском хозяйстве, дающей право на надбавку к фиксированной выплате при назначении </w:t>
      </w:r>
      <w:r>
        <w:lastRenderedPageBreak/>
        <w:t>пенсии (исключено условие о том, что надбавка устанавливается только на период проживания в сельской местности, а также исключено ограничение «не более 6 лет» в части периодов ухода за детьми).</w:t>
      </w:r>
    </w:p>
    <w:p w:rsidR="002E3B09" w:rsidRDefault="002E3B09" w:rsidP="002E3B09">
      <w:pPr>
        <w:widowControl/>
        <w:ind w:firstLine="709"/>
        <w:jc w:val="both"/>
      </w:pPr>
      <w:r>
        <w:t>Действие постановления распространяется на правоотношения, возникшие с 1 января 2026 года.</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Обязанности руководителей государственных и муниципальных учреждений в антикоррупционной сфере</w:t>
      </w:r>
    </w:p>
    <w:p w:rsidR="002E3B09" w:rsidRDefault="002E3B09" w:rsidP="002E3B09">
      <w:pPr>
        <w:widowControl/>
        <w:ind w:firstLine="709"/>
        <w:jc w:val="both"/>
        <w:rPr>
          <w:b/>
        </w:rPr>
      </w:pPr>
    </w:p>
    <w:p w:rsidR="002E3B09" w:rsidRDefault="002E3B09" w:rsidP="002E3B09">
      <w:pPr>
        <w:widowControl/>
        <w:ind w:firstLine="709"/>
        <w:jc w:val="both"/>
      </w:pPr>
      <w:r>
        <w:t>Федеральными законами от 28.12.2025 № 505-ФЗ «О внесении изменений в отдельные законодательные акты Российской Федерации» и от 28.12.2025 № 510-ФЗ «О внесении изменений в Трудовой кодекс Российской Федерации» существенно изменены антикоррупционные обязанности руководителей государственных и муниципальных учреждений.</w:t>
      </w:r>
    </w:p>
    <w:p w:rsidR="002E3B09" w:rsidRDefault="002E3B09" w:rsidP="002E3B09">
      <w:pPr>
        <w:widowControl/>
        <w:ind w:firstLine="709"/>
        <w:jc w:val="both"/>
      </w:pPr>
      <w:r>
        <w:t>С 1 января 2026 года для указанной категории должностных лиц введена обязанность представлять сведения о личных расходах.</w:t>
      </w:r>
    </w:p>
    <w:p w:rsidR="002E3B09" w:rsidRDefault="002E3B09" w:rsidP="002E3B09">
      <w:pPr>
        <w:widowControl/>
        <w:ind w:firstLine="709"/>
        <w:jc w:val="both"/>
      </w:pPr>
      <w:r>
        <w:t>Соответствующие изменения внесены в Трудовой кодекс РФ и антикоррупционное законодательство.</w:t>
      </w:r>
    </w:p>
    <w:p w:rsidR="002E3B09" w:rsidRDefault="002E3B09" w:rsidP="002E3B09">
      <w:pPr>
        <w:widowControl/>
        <w:ind w:firstLine="709"/>
        <w:jc w:val="both"/>
      </w:pPr>
      <w:r>
        <w:t>Ранее руководители учреждений декларировали только доходы, имущество и обязательства имущественного характера – в отношении себя, супруга (супруги) и несовершеннолетних детей. Теперь эта обязанность расширена.</w:t>
      </w:r>
    </w:p>
    <w:p w:rsidR="002E3B09" w:rsidRDefault="002E3B09" w:rsidP="002E3B09">
      <w:pPr>
        <w:widowControl/>
        <w:ind w:firstLine="709"/>
        <w:jc w:val="both"/>
      </w:pPr>
      <w:r>
        <w:t>В Трудовой кодекс Российской федерации введена статья 281.1, устанавливающая особенности регулирования труда руководителя государственного или муниципального учреждения.</w:t>
      </w:r>
    </w:p>
    <w:p w:rsidR="002E3B09" w:rsidRDefault="002E3B09" w:rsidP="002E3B09">
      <w:pPr>
        <w:widowControl/>
        <w:ind w:firstLine="709"/>
        <w:jc w:val="both"/>
      </w:pPr>
      <w:r>
        <w:t>В числе новых требований – представление сведений о расходах в порядке, предусмотренном Законом о контроле за соответствием расходов доходам лиц, замещающих государственные должности, и иных лиц их доходам.</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О дополнительных мерах поддержки лиц с редкими заболеваниями</w:t>
      </w:r>
    </w:p>
    <w:p w:rsidR="002E3B09" w:rsidRDefault="002E3B09" w:rsidP="002E3B09">
      <w:pPr>
        <w:widowControl/>
        <w:ind w:firstLine="709"/>
        <w:jc w:val="both"/>
      </w:pPr>
      <w:r>
        <w:t xml:space="preserve"> </w:t>
      </w:r>
    </w:p>
    <w:p w:rsidR="002E3B09" w:rsidRDefault="002E3B09" w:rsidP="002E3B09">
      <w:pPr>
        <w:widowControl/>
        <w:ind w:firstLine="709"/>
        <w:jc w:val="both"/>
      </w:pPr>
      <w:r>
        <w:t xml:space="preserve"> С 1 января 2026 года вступили в силу изменения в Федеральный закон «Об основах охраны здоровья граждан в Российской Федерации», которые установили дополнительный (резервный) механизм обеспечения лиц с жизнеугрожающими и хроническими прогрессирующими редкими (орфанными) заболеваниями лекарственными препаратами.</w:t>
      </w:r>
    </w:p>
    <w:p w:rsidR="002E3B09" w:rsidRDefault="002E3B09" w:rsidP="002E3B09">
      <w:pPr>
        <w:widowControl/>
        <w:ind w:firstLine="709"/>
        <w:jc w:val="both"/>
      </w:pPr>
      <w:r>
        <w:t>Если субъект РФ не может исполнить обязанность по обеспечению такими лекарствами, из федерального бюджета предоставляются межбюджетные трансферты на софинансирование расходных обязательств региона.</w:t>
      </w:r>
    </w:p>
    <w:p w:rsidR="002E3B09" w:rsidRDefault="002E3B09" w:rsidP="002E3B09">
      <w:pPr>
        <w:widowControl/>
        <w:ind w:firstLine="709"/>
        <w:jc w:val="both"/>
      </w:pPr>
      <w:r>
        <w:t xml:space="preserve">РФ определяет размер таких трансфертов, порядок их предоставления, а также критерии оценки исполнения субъектом обязательств. </w:t>
      </w:r>
    </w:p>
    <w:p w:rsidR="002E3B09" w:rsidRDefault="002E3B09" w:rsidP="002E3B09">
      <w:pPr>
        <w:widowControl/>
        <w:ind w:firstLine="709"/>
        <w:jc w:val="both"/>
      </w:pPr>
    </w:p>
    <w:p w:rsidR="002E3B09" w:rsidRDefault="002E3B09" w:rsidP="002E3B09">
      <w:pPr>
        <w:widowControl/>
        <w:ind w:firstLine="709"/>
        <w:jc w:val="both"/>
      </w:pPr>
      <w:r>
        <w:rPr>
          <w:b/>
        </w:rPr>
        <w:t>О новой Программе государственных гарантий оказания бесплатной медицинской помощи</w:t>
      </w:r>
    </w:p>
    <w:p w:rsidR="002E3B09" w:rsidRDefault="002E3B09" w:rsidP="002E3B09">
      <w:pPr>
        <w:widowControl/>
        <w:ind w:firstLine="709"/>
        <w:jc w:val="both"/>
      </w:pPr>
    </w:p>
    <w:p w:rsidR="002E3B09" w:rsidRDefault="002E3B09" w:rsidP="002E3B09">
      <w:pPr>
        <w:widowControl/>
        <w:ind w:firstLine="709"/>
        <w:jc w:val="both"/>
      </w:pPr>
      <w:r>
        <w:t>Утверждена Программа государственных гарантий оказания бесплатной медицинской помощи на 2026–2028 годы. Среди основных нововведений:</w:t>
      </w:r>
    </w:p>
    <w:p w:rsidR="002E3B09" w:rsidRDefault="002E3B09" w:rsidP="002E3B09">
      <w:pPr>
        <w:numPr>
          <w:ilvl w:val="0"/>
          <w:numId w:val="6"/>
        </w:numPr>
        <w:ind w:left="0" w:firstLine="709"/>
        <w:jc w:val="both"/>
      </w:pPr>
      <w:r>
        <w:t xml:space="preserve">Расширение перечня бесплатных услуг. В 2026 году граждане могут получать по полису ОМС дополнительные виды лабораторных анализов, инструментальной диагностики и терапии. Например, стали доступны фотодинамическая терапия при раке мочевого пузыря, аутопластика свободным лоскутом конъюнктивы, лапароскопические операции на желудке. </w:t>
      </w:r>
    </w:p>
    <w:p w:rsidR="002E3B09" w:rsidRDefault="002E3B09" w:rsidP="002E3B09">
      <w:pPr>
        <w:numPr>
          <w:ilvl w:val="0"/>
          <w:numId w:val="7"/>
        </w:numPr>
        <w:ind w:left="0" w:firstLine="709"/>
        <w:jc w:val="both"/>
      </w:pPr>
      <w:r>
        <w:t xml:space="preserve">Обновлённая диспансеризация. В программу включены новые скрининговые методики для раннего выявления заболеваний. Например, анализ на ВИЧ и жидкостная цитология шейки матки для женщин репродуктивного возраста. </w:t>
      </w:r>
    </w:p>
    <w:p w:rsidR="002E3B09" w:rsidRDefault="002E3B09" w:rsidP="002E3B09">
      <w:pPr>
        <w:numPr>
          <w:ilvl w:val="0"/>
          <w:numId w:val="8"/>
        </w:numPr>
        <w:ind w:left="0" w:firstLine="709"/>
        <w:jc w:val="both"/>
      </w:pPr>
      <w:r>
        <w:t xml:space="preserve">Дистанционное наблюдение за пациентами с хроническими заболеваниями (артериальная гипертензия, сахарный диабет). Пациенты получают специальные устройства (глюкометры, тонометры), данные с которых передаются врачу через мобильное приложение. </w:t>
      </w:r>
    </w:p>
    <w:p w:rsidR="002E3B09" w:rsidRDefault="002E3B09" w:rsidP="002E3B09">
      <w:pPr>
        <w:numPr>
          <w:ilvl w:val="0"/>
          <w:numId w:val="9"/>
        </w:numPr>
        <w:ind w:left="0" w:firstLine="709"/>
        <w:jc w:val="both"/>
      </w:pPr>
      <w:r>
        <w:t xml:space="preserve">Неинвазивное пренатальное тестирование (определение внеклеточной ДНК плода по крови матери) включено в дородовую диагностику. </w:t>
      </w:r>
    </w:p>
    <w:p w:rsidR="002E3B09" w:rsidRDefault="002E3B09" w:rsidP="002E3B09">
      <w:pPr>
        <w:numPr>
          <w:ilvl w:val="0"/>
          <w:numId w:val="10"/>
        </w:numPr>
        <w:ind w:left="0" w:firstLine="709"/>
        <w:jc w:val="both"/>
      </w:pPr>
      <w:r>
        <w:t xml:space="preserve">Расширенный неонатальный скрининг. Добавлены диагнозы редких наследственных заболеваний: Х-сцепленная адренолейкодистрофия и дефицит декарбоксилазы ароматических L-аминокислот. </w:t>
      </w:r>
    </w:p>
    <w:p w:rsidR="002E3B09" w:rsidRDefault="002E3B09" w:rsidP="002E3B09">
      <w:pPr>
        <w:numPr>
          <w:ilvl w:val="0"/>
          <w:numId w:val="11"/>
        </w:numPr>
        <w:ind w:left="0" w:firstLine="709"/>
        <w:jc w:val="both"/>
      </w:pPr>
      <w:r>
        <w:t xml:space="preserve">Вакцинация против пневмококковых инфекций для людей старше 65 лет.  </w:t>
      </w:r>
    </w:p>
    <w:p w:rsidR="002E3B09" w:rsidRDefault="002E3B09" w:rsidP="002E3B09">
      <w:pPr>
        <w:numPr>
          <w:ilvl w:val="0"/>
          <w:numId w:val="12"/>
        </w:numPr>
        <w:ind w:left="0" w:firstLine="709"/>
        <w:jc w:val="both"/>
      </w:pPr>
      <w:r>
        <w:t xml:space="preserve">Телемедицинские технологии теперь применяются не только для взаимодействия медработников, но и для оказания услуг пациентам. </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За пал сухой травы с учетом последствий предусмотрена административная и уголовная ответственность</w:t>
      </w:r>
    </w:p>
    <w:p w:rsidR="002E3B09" w:rsidRDefault="002E3B09" w:rsidP="002E3B09">
      <w:pPr>
        <w:widowControl/>
        <w:ind w:firstLine="709"/>
        <w:jc w:val="both"/>
      </w:pPr>
    </w:p>
    <w:p w:rsidR="002E3B09" w:rsidRDefault="002E3B09" w:rsidP="002E3B09">
      <w:pPr>
        <w:widowControl/>
        <w:ind w:firstLine="709"/>
        <w:jc w:val="both"/>
      </w:pPr>
      <w:r>
        <w:t>Пал сухой травы нередко является предпосылкой для лесного или торфяного пожара, который может легко добраться на населенного пункта, стать причиной отравления дымом.</w:t>
      </w:r>
    </w:p>
    <w:p w:rsidR="002E3B09" w:rsidRDefault="002E3B09" w:rsidP="002E3B09">
      <w:pPr>
        <w:widowControl/>
        <w:ind w:firstLine="709"/>
        <w:jc w:val="both"/>
      </w:pPr>
      <w:r>
        <w:t>За пал травы в зависимости от тяжести наступивших последствий предусмотрена административная ответственность по статьям 8.32 КоАП РФ (нарушение правил пожарной безопасности в лесах), 20.4 КоАП РФ (нарушение требований пожарной безопасности) либо уголовная ответственность по статье 261 Уголовного кодекса Российской Федерации (уничтожение или повреждение лесных насаждений).</w:t>
      </w:r>
    </w:p>
    <w:p w:rsidR="002E3B09" w:rsidRDefault="002E3B09" w:rsidP="002E3B09">
      <w:pPr>
        <w:widowControl/>
        <w:ind w:firstLine="709"/>
        <w:jc w:val="both"/>
      </w:pPr>
      <w:r>
        <w:t xml:space="preserve">Кроме административной или уголовной овтетственности,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w:t>
      </w:r>
      <w:r>
        <w:lastRenderedPageBreak/>
        <w:t>соответствии со статьей 77 Федерального закона от 10.01.2002 № 7-ФЗ «Об охране окружающей среды».</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Федеральным законом от 09.04.2026 № 77-ФЗ установлена административная ответственность за нарушение правил эксплуатации объектов критической информационной инфраструктуры Российской Федерации</w:t>
      </w:r>
    </w:p>
    <w:p w:rsidR="002E3B09" w:rsidRDefault="002E3B09" w:rsidP="002E3B09">
      <w:pPr>
        <w:widowControl/>
        <w:ind w:firstLine="709"/>
        <w:jc w:val="both"/>
      </w:pPr>
    </w:p>
    <w:p w:rsidR="002E3B09" w:rsidRDefault="002E3B09" w:rsidP="002E3B09">
      <w:pPr>
        <w:widowControl/>
        <w:ind w:firstLine="709"/>
        <w:jc w:val="both"/>
      </w:pPr>
      <w:r>
        <w:t>Федеральным законом от 09.04.2026 № 77-ФЗ «О внесении изменений в Кодекс Российской Федерации об административных правонарушениях» установлена административная ответственность за нарушение правил эксплуатации объектов критической информационной инфраструктуры Российской Федерации.</w:t>
      </w:r>
    </w:p>
    <w:p w:rsidR="002E3B09" w:rsidRDefault="002E3B09" w:rsidP="002E3B09">
      <w:pPr>
        <w:widowControl/>
        <w:ind w:firstLine="709"/>
        <w:jc w:val="both"/>
      </w:pPr>
      <w:r>
        <w:t>За нарушение правил эксплуатации объектов критической информационной инфраструктуры РФ предусмотрен штраф до 10 тысяч рублей для граждан, до 50 тысяч рублей – для должностных лиц; до 500 тысяч рублей – для юридических лиц.</w:t>
      </w:r>
    </w:p>
    <w:p w:rsidR="002E3B09" w:rsidRDefault="002E3B09" w:rsidP="002E3B09">
      <w:pPr>
        <w:widowControl/>
        <w:ind w:firstLine="709"/>
        <w:jc w:val="both"/>
      </w:pPr>
      <w:r>
        <w:t>Закон устанавливает административную ответственность за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РФ,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РФ,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за исключением случаев, предусмотренных статьей 13.12.1 КоАП РФ, если такие действия (бездействие) не содержат признаков уголовно наказуемого деяния.</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Цифровая валюта как предмет ареста и конфискации по уголовным делам</w:t>
      </w:r>
    </w:p>
    <w:p w:rsidR="002E3B09" w:rsidRDefault="002E3B09" w:rsidP="002E3B09">
      <w:pPr>
        <w:widowControl/>
        <w:ind w:firstLine="709"/>
        <w:jc w:val="both"/>
      </w:pPr>
    </w:p>
    <w:p w:rsidR="002E3B09" w:rsidRDefault="002E3B09" w:rsidP="002E3B09">
      <w:pPr>
        <w:widowControl/>
        <w:ind w:firstLine="709"/>
        <w:jc w:val="both"/>
      </w:pPr>
      <w:r>
        <w:t>Федеральным законом от 20.02.2026 № 38-ФЗ «О внесении изменений в статью 104.1 Уголовного кодекса Российской Федерации и Уголовно-процессуальный кодекс Российской Федерации» к имуществу, подлежащему аресту и конфискации для целей и задач уголовного судопроизводства, отнесена цифровая валюта (к ней относится, в том числе, криптовалюта).</w:t>
      </w:r>
    </w:p>
    <w:p w:rsidR="002E3B09" w:rsidRDefault="002E3B09" w:rsidP="002E3B09">
      <w:pPr>
        <w:widowControl/>
        <w:ind w:firstLine="709"/>
        <w:jc w:val="both"/>
      </w:pPr>
      <w:r>
        <w:t>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или расчетной единицей, и (или) в качестве инвестиций. Таким образом, цифровая валюта – это электронные деньги, которые существуют только в сети «Интернет» и не имеют физической формы, хранясь в специальных приложениях и программах, на веб-кошельках.</w:t>
      </w:r>
    </w:p>
    <w:p w:rsidR="002E3B09" w:rsidRDefault="002E3B09" w:rsidP="002E3B09">
      <w:pPr>
        <w:widowControl/>
        <w:ind w:firstLine="709"/>
        <w:jc w:val="both"/>
      </w:pPr>
      <w:r>
        <w:lastRenderedPageBreak/>
        <w:t>Вместе с тем, коды доступа к цифровой валюте или сама цифровая валюта могут храниться на материальном носителе (например, на сервере, компьютере). С соответствующего материального носителя могут непосредственно осуществляться различные операции с цифровой валютой, в том числе ее перевод, обмен.</w:t>
      </w:r>
    </w:p>
    <w:p w:rsidR="002E3B09" w:rsidRDefault="002E3B09" w:rsidP="002E3B09">
      <w:pPr>
        <w:widowControl/>
        <w:ind w:firstLine="709"/>
        <w:jc w:val="both"/>
      </w:pPr>
      <w:r>
        <w:t>Уголовно-процессуальный кодекс Российской Федерации дополнен статьей 164.2, регламентирующей действия следователя (дознавателя) в тех случаях, когда в ходе предварительного расследования выявляется цифровая валюта, подлежащая изъятию и признанию вещественным доказательством.</w:t>
      </w:r>
    </w:p>
    <w:p w:rsidR="002E3B09" w:rsidRDefault="002E3B09" w:rsidP="002E3B09">
      <w:pPr>
        <w:widowControl/>
        <w:ind w:firstLine="709"/>
        <w:jc w:val="both"/>
      </w:pPr>
      <w:r>
        <w:t>Информация о наличии цифровой валюты или материальный носитель с такой валютой (кодами доступа к ней), в том числе полученной преступным путем, может обнаружиться, например, при производстве обыска с участием специалиста. В целях недопущения сокрытия цифровой валюты следователь (дознаватель) наделяется полномочиями по ее изъятию.</w:t>
      </w:r>
    </w:p>
    <w:p w:rsidR="002E3B09" w:rsidRDefault="002E3B09" w:rsidP="002E3B09">
      <w:pPr>
        <w:widowControl/>
        <w:ind w:firstLine="709"/>
        <w:jc w:val="both"/>
      </w:pPr>
      <w:r>
        <w:t>При этом предусматривается возможность выбора следующих мер в зависимости от ситуации и конкретного вида цифровой валюты: изъятие материального носителя, содержащего цифровую валюту или коды доступа к ней; перевод ее на адрес-идентификатор, позволяющий обеспечить ее сохранность.</w:t>
      </w:r>
    </w:p>
    <w:p w:rsidR="002E3B09" w:rsidRDefault="002E3B09" w:rsidP="002E3B09">
      <w:pPr>
        <w:widowControl/>
        <w:ind w:firstLine="709"/>
        <w:jc w:val="both"/>
      </w:pPr>
      <w:r>
        <w:t>Возможно осуществление обеих вышеперечисленных мер.</w:t>
      </w:r>
    </w:p>
    <w:p w:rsidR="002E3B09" w:rsidRDefault="002E3B09" w:rsidP="002E3B09">
      <w:pPr>
        <w:widowControl/>
        <w:ind w:firstLine="709"/>
        <w:jc w:val="both"/>
      </w:pPr>
      <w:r>
        <w:t>Указанные действия могут быть осуществлены в целях последующего наложения ареста на цифровую валюту, который заключается в запрете операций в целях обеспечения сохранности цифровой валюты для дальнейшего исполнения приговора в части гражданского иска, взыскания штрафа, других имущественных взысканий или возможной конфискации имущества.</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Изменен порядок получения документов, подтверждающих инвалидность</w:t>
      </w:r>
    </w:p>
    <w:p w:rsidR="002E3B09" w:rsidRDefault="002E3B09" w:rsidP="002E3B09">
      <w:pPr>
        <w:widowControl/>
        <w:ind w:firstLine="709"/>
        <w:jc w:val="both"/>
        <w:rPr>
          <w:b/>
        </w:rPr>
      </w:pPr>
    </w:p>
    <w:p w:rsidR="002E3B09" w:rsidRDefault="002E3B09" w:rsidP="002E3B09">
      <w:pPr>
        <w:widowControl/>
        <w:ind w:firstLine="709"/>
        <w:jc w:val="both"/>
      </w:pPr>
      <w:r>
        <w:t>С 1 марта 2026 года вступил в силу приказ Минтруда России от 28.03.2025 № 160н «Об утверждении форм справки, подтверждающей факт установления инвалидности, выписки из акта медико-социальной экспертизы гражданина и порядка их составления, в том числе в форме электронного документа».</w:t>
      </w:r>
    </w:p>
    <w:p w:rsidR="002E3B09" w:rsidRDefault="002E3B09" w:rsidP="002E3B09">
      <w:pPr>
        <w:widowControl/>
        <w:ind w:firstLine="709"/>
        <w:jc w:val="both"/>
      </w:pPr>
      <w:r>
        <w:t xml:space="preserve">Справка, подтверждающая факт установления инвалидности, и выписка из акта медико-социальной экспертизы гражданина формируются в государственной информационной системе «Единая централизованная цифровая платформа в социальной сфере» в автоматическом режиме на основе акта медико-социальной экспертизы гражданина, подписывается усиленной квалифицированной электронной подписью. </w:t>
      </w:r>
    </w:p>
    <w:p w:rsidR="002E3B09" w:rsidRDefault="002E3B09" w:rsidP="002E3B09">
      <w:pPr>
        <w:widowControl/>
        <w:ind w:firstLine="709"/>
        <w:jc w:val="both"/>
      </w:pPr>
      <w:r>
        <w:t>По запросу гражданина справка и выписка, оформленные в форме электронного документа, подписываются усиленной квалифицированной электронной подписью на Единой цифровой платформе и направляются гражданину (его законному или уполномоченному представителю) в личный кабинет в федеральной государственной информационной системе «Единый портал государственных и муниципальных услуг (функций)».</w:t>
      </w:r>
    </w:p>
    <w:p w:rsidR="002E3B09" w:rsidRDefault="002E3B09" w:rsidP="002E3B09">
      <w:pPr>
        <w:widowControl/>
        <w:ind w:firstLine="709"/>
        <w:jc w:val="both"/>
      </w:pPr>
      <w:r>
        <w:lastRenderedPageBreak/>
        <w:t>Вместе с тем по желанию гражданина можно получить документы об установлении инвалидности и на бумажном носителе, для этого необходимо обратиться в бюро медико-социальной экспертизы.</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Правительством утверждена Концепция развития первой помощи в РФ до 2036 года</w:t>
      </w:r>
    </w:p>
    <w:p w:rsidR="002E3B09" w:rsidRDefault="002E3B09" w:rsidP="002E3B09">
      <w:pPr>
        <w:widowControl/>
        <w:ind w:firstLine="709"/>
        <w:jc w:val="both"/>
      </w:pPr>
      <w:r>
        <w:t xml:space="preserve"> </w:t>
      </w:r>
    </w:p>
    <w:p w:rsidR="002E3B09" w:rsidRDefault="002E3B09" w:rsidP="002E3B09">
      <w:pPr>
        <w:widowControl/>
        <w:ind w:firstLine="709"/>
        <w:jc w:val="both"/>
      </w:pPr>
      <w:r>
        <w:t>Распоряжением Правительства РФ от 27.03.2026 № 637-р утверждена Концепции развития первой помощи в Российской федерации до 2036 года.</w:t>
      </w:r>
    </w:p>
    <w:p w:rsidR="002E3B09" w:rsidRDefault="002E3B09" w:rsidP="002E3B09">
      <w:pPr>
        <w:widowControl/>
        <w:ind w:firstLine="709"/>
        <w:jc w:val="both"/>
      </w:pPr>
      <w:r>
        <w:t>Установлено, что целью Концепции является создание в РФ условий для обеспечения широкомасштабной подготовки населения навыкам оказания первой помощи и применения полученных навыков на практике как необходимых условий повышения ожидаемой продолжительности жизни и снижения потенциально предотвратимой смертности населения.</w:t>
      </w:r>
    </w:p>
    <w:p w:rsidR="002E3B09" w:rsidRDefault="002E3B09" w:rsidP="002E3B09">
      <w:pPr>
        <w:widowControl/>
        <w:ind w:firstLine="709"/>
        <w:jc w:val="both"/>
      </w:pPr>
      <w:r>
        <w:t>Первый этап реализации Концепции запланирован с 1 июня 2026 года по 2027 год. Второй и третий этапы запланированы на 2028 – 2030 и 2031 – 2036 годы соответственно.</w:t>
      </w:r>
    </w:p>
    <w:p w:rsidR="002E3B09" w:rsidRDefault="002E3B09" w:rsidP="002E3B09">
      <w:pPr>
        <w:widowControl/>
        <w:ind w:firstLine="709"/>
        <w:jc w:val="both"/>
      </w:pPr>
      <w:r>
        <w:t>Данные изменения вступают в силу 01.06.2026 за исключением отдельных положений, для которого определен иной срок его вступления в силу.</w:t>
      </w:r>
    </w:p>
    <w:p w:rsidR="002E3B09" w:rsidRDefault="002E3B09" w:rsidP="002E3B09">
      <w:pPr>
        <w:widowControl/>
        <w:ind w:firstLine="709"/>
        <w:jc w:val="both"/>
        <w:rPr>
          <w:b/>
        </w:rPr>
      </w:pPr>
    </w:p>
    <w:p w:rsidR="002E3B09" w:rsidRDefault="002E3B09" w:rsidP="002E3B09">
      <w:pPr>
        <w:widowControl/>
        <w:ind w:firstLine="709"/>
        <w:jc w:val="both"/>
        <w:rPr>
          <w:b/>
        </w:rPr>
      </w:pPr>
    </w:p>
    <w:p w:rsidR="002E3B09" w:rsidRDefault="002E3B09" w:rsidP="002E3B09">
      <w:pPr>
        <w:widowControl/>
        <w:ind w:firstLine="709"/>
        <w:jc w:val="both"/>
        <w:rPr>
          <w:b/>
        </w:rPr>
      </w:pPr>
      <w:r>
        <w:rPr>
          <w:b/>
        </w:rPr>
        <w:t>Инвалиды по зрению получат возможность использовать электронный сертификат для оплаты корма собаки-проводника»</w:t>
      </w:r>
    </w:p>
    <w:p w:rsidR="002E3B09" w:rsidRDefault="002E3B09" w:rsidP="002E3B09">
      <w:pPr>
        <w:widowControl/>
        <w:ind w:firstLine="709"/>
        <w:jc w:val="both"/>
      </w:pPr>
    </w:p>
    <w:p w:rsidR="002E3B09" w:rsidRDefault="002E3B09" w:rsidP="002E3B09">
      <w:pPr>
        <w:widowControl/>
        <w:ind w:firstLine="709"/>
        <w:jc w:val="both"/>
      </w:pPr>
      <w:r>
        <w:t xml:space="preserve">С 26 марта 2026 года указанная мера поддержки предоставляется дополнительно к ежегодной денежной компенсации, которая покрывает расходы на содержание и ветеринарное обслуживание собаки-проводника. </w:t>
      </w:r>
    </w:p>
    <w:p w:rsidR="002E3B09" w:rsidRDefault="002E3B09" w:rsidP="002E3B09">
      <w:pPr>
        <w:widowControl/>
        <w:ind w:firstLine="709"/>
        <w:jc w:val="both"/>
      </w:pPr>
      <w:r>
        <w:t>Электронный сертификат для приобретения корма будет формироваться в беззаявительном порядке в случае принятия положительного решения о выплате вышеназванной компенсации. Предельный размер оплаты корма, приобретаемого с использованием электронного сертификата, составляет 83 900 рублей в год. Инвалид (лицо, представляющее его интересы) вправе использовать электронный сертификат для приобретения корма в течение 12 месяцев со дня начала срока действия электронного сертификата</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r>
        <w:rPr>
          <w:b/>
        </w:rPr>
        <w:t>Социальной помощи участникам специальной военной операции</w:t>
      </w:r>
    </w:p>
    <w:p w:rsidR="002E3B09" w:rsidRDefault="002E3B09" w:rsidP="002E3B09">
      <w:pPr>
        <w:widowControl/>
        <w:ind w:firstLine="709"/>
        <w:jc w:val="both"/>
      </w:pPr>
    </w:p>
    <w:p w:rsidR="002E3B09" w:rsidRDefault="002E3B09" w:rsidP="002E3B09">
      <w:pPr>
        <w:widowControl/>
        <w:ind w:firstLine="709"/>
        <w:jc w:val="both"/>
      </w:pPr>
      <w:r>
        <w:t>Прокуратура разъясняет, что Федеральным законом от 28.11.2025 № 439-ФЗ в отдельные законодательные акты Российской Федерации внесены изменения.</w:t>
      </w:r>
    </w:p>
    <w:p w:rsidR="002E3B09" w:rsidRDefault="002E3B09" w:rsidP="002E3B09">
      <w:pPr>
        <w:widowControl/>
        <w:ind w:firstLine="709"/>
        <w:jc w:val="both"/>
      </w:pPr>
      <w:r>
        <w:t xml:space="preserve">Теперь к получателям государственной социальной помощи помимо малоимущих семей, малоимущих одиноко проживающих граждан и иных категорий граждан, которые по не зависящим от них причинам имеют среднедушевой доход ниже величины прожиточного минимума на душу </w:t>
      </w:r>
      <w:r>
        <w:lastRenderedPageBreak/>
        <w:t>населения, установленного в соответствующем субъекте Российской Федерации в соответствии с Федеральным законом «О прожиточном минимуме в Российской Федерации», также отнесены участники специальной военной операции.</w:t>
      </w:r>
    </w:p>
    <w:p w:rsidR="002E3B09" w:rsidRDefault="002E3B09" w:rsidP="002E3B09">
      <w:pPr>
        <w:widowControl/>
        <w:ind w:firstLine="709"/>
        <w:jc w:val="both"/>
      </w:pPr>
      <w:r>
        <w:t>Государственная социальная помощь на основании социального контракта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а гражданин – реализовать мероприятия, предусмотренные программой социальной адаптации) оказывается участникам специальной военной операции в целях стимулирования их активных действий по осуществлению индивидуальной предпринимательской деятельности.</w:t>
      </w:r>
    </w:p>
    <w:p w:rsidR="002E3B09" w:rsidRDefault="002E3B09" w:rsidP="002E3B09">
      <w:pPr>
        <w:widowControl/>
        <w:ind w:firstLine="709"/>
        <w:jc w:val="both"/>
      </w:pPr>
      <w:r>
        <w:t>В силу статьи 8.2 Федерального закона № 178-ФЗ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12.01.1995 № 5-ФЗ «О ветеранах»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 в целях стимулирования активных действий участников специальной военной операции по осуществлению индивидуальной предпринимательской деятельности.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государственная социальная помощь на основании социального контракта оказывается им или их супругам, признанным в установленном порядке безработными или ищущими работу.</w:t>
      </w:r>
    </w:p>
    <w:p w:rsidR="002E3B09" w:rsidRDefault="002E3B09" w:rsidP="002E3B09">
      <w:pPr>
        <w:widowControl/>
        <w:ind w:firstLine="709"/>
        <w:jc w:val="both"/>
      </w:pPr>
      <w:r>
        <w:t>Такая государственная социальная помощь оказывается без проведения оценки среднедушевого дохода семьи либо дохода одиноко проживающего гражданина.</w:t>
      </w:r>
    </w:p>
    <w:p w:rsidR="002E3B09" w:rsidRDefault="002E3B09" w:rsidP="002E3B09">
      <w:pPr>
        <w:widowControl/>
        <w:ind w:firstLine="709"/>
        <w:jc w:val="both"/>
      </w:pPr>
      <w:r>
        <w:t>Социальный контракт с участниками специальной военной операции заключается однократно. К такому социальному контракту прилагается программа социальной адаптации, предусматривающая обязательные для реализации получателями государственной социальной помощи мероприятия по осуществлению индивидуальной предпринимательской деятельности.</w:t>
      </w:r>
    </w:p>
    <w:p w:rsidR="002E3B09" w:rsidRDefault="002E3B09" w:rsidP="002E3B09">
      <w:pPr>
        <w:widowControl/>
        <w:ind w:firstLine="709"/>
        <w:jc w:val="both"/>
      </w:pPr>
      <w:r>
        <w:t>Указанные изменения вступили в силу с 1 января 2026 года.</w:t>
      </w:r>
    </w:p>
    <w:p w:rsidR="002E3B09" w:rsidRDefault="002E3B09" w:rsidP="002E3B09">
      <w:pPr>
        <w:widowControl/>
        <w:ind w:firstLine="709"/>
        <w:jc w:val="both"/>
      </w:pPr>
    </w:p>
    <w:p w:rsidR="002E3B09" w:rsidRDefault="002E3B09" w:rsidP="002E3B09">
      <w:pPr>
        <w:widowControl/>
        <w:ind w:firstLine="709"/>
        <w:jc w:val="both"/>
      </w:pPr>
    </w:p>
    <w:p w:rsidR="002E3B09" w:rsidRDefault="002E3B09" w:rsidP="002E3B09">
      <w:pPr>
        <w:widowControl/>
        <w:ind w:firstLine="709"/>
        <w:jc w:val="both"/>
        <w:rPr>
          <w:b/>
        </w:rPr>
      </w:pPr>
    </w:p>
    <w:p w:rsidR="002E3B09" w:rsidRDefault="002E3B09" w:rsidP="002E3B09">
      <w:pPr>
        <w:widowControl/>
        <w:ind w:firstLine="709"/>
        <w:jc w:val="both"/>
        <w:rPr>
          <w:b/>
        </w:rPr>
      </w:pPr>
      <w:r>
        <w:rPr>
          <w:b/>
        </w:rPr>
        <w:t>Уголовная ответственность за уничтожение и повреждение имущества по неосторожности</w:t>
      </w:r>
    </w:p>
    <w:p w:rsidR="002E3B09" w:rsidRDefault="002E3B09" w:rsidP="002E3B09">
      <w:pPr>
        <w:widowControl/>
        <w:ind w:firstLine="709"/>
        <w:jc w:val="both"/>
      </w:pPr>
    </w:p>
    <w:p w:rsidR="002E3B09" w:rsidRDefault="002E3B09" w:rsidP="002E3B09">
      <w:pPr>
        <w:widowControl/>
        <w:ind w:firstLine="709"/>
        <w:jc w:val="both"/>
      </w:pPr>
      <w:r>
        <w:t xml:space="preserve">Уголовная ответственность за уничтожение или повреждение чужого имущества, совершенные по неосторожности, предусмотрена статьей 168 </w:t>
      </w:r>
      <w:r>
        <w:lastRenderedPageBreak/>
        <w:t>Уголовного кодекса Российской Федерации. Объективная сторона указанного преступления складывается из противоправных действий или бездействия лица, заключающихся в нарушении правил обращения с огнем или иными источниками повышенной опасности, в результате которых повреждается или уничтожается чужое имущество.</w:t>
      </w:r>
    </w:p>
    <w:p w:rsidR="002E3B09" w:rsidRDefault="002E3B09" w:rsidP="002E3B09">
      <w:pPr>
        <w:widowControl/>
        <w:ind w:firstLine="709"/>
        <w:jc w:val="both"/>
      </w:pPr>
      <w:r>
        <w:t>Под иными источниками повышенной опасности исходя из требований гражданского законодательства понимаются транспортные средства, механизмы, взрывчатые вещества, сильнодействующие яды и тому подобное.</w:t>
      </w:r>
    </w:p>
    <w:p w:rsidR="002E3B09" w:rsidRDefault="002E3B09" w:rsidP="002E3B09">
      <w:pPr>
        <w:widowControl/>
        <w:ind w:firstLine="709"/>
        <w:jc w:val="both"/>
      </w:pPr>
      <w:r>
        <w:t>Обязательным элементом состава данного преступления законом определены общественно опасные последствия в виде гибели или порчи чужого имущества в крупном размере, который согласно примечанию 4 к статье 158 УК РФ должен превышать 250 000 рублей.</w:t>
      </w:r>
    </w:p>
    <w:p w:rsidR="002E3B09" w:rsidRDefault="002E3B09" w:rsidP="002E3B09">
      <w:pPr>
        <w:widowControl/>
        <w:ind w:firstLine="709"/>
        <w:jc w:val="both"/>
      </w:pPr>
      <w:r>
        <w:t>Если неосторожное уничтожение или повреждение чужого имущества произошло иным путем, например, по причине аварийного режима работы электросети или неумышленного затопления соседями квартиры, находящейся этажом ниже, содеянное состава преступления, предусмотренного статьей 168 УК РФ, не образует.</w:t>
      </w:r>
    </w:p>
    <w:p w:rsidR="002E3B09" w:rsidRDefault="002E3B09" w:rsidP="002E3B09">
      <w:pPr>
        <w:widowControl/>
        <w:ind w:firstLine="709"/>
        <w:jc w:val="both"/>
      </w:pPr>
      <w:r>
        <w:t>Указанное деяние отнесено уголовным законом к категории преступлений небольшой тяжести и предусматривает наказание в виде штрафа в размере 120 000 рублей или в размере заработной платы или иного дохода за период до одного года, либо обязательных работ на срок до 480 часов, либо исправительных работ на срок до 2 лет, либо ограничения свободы, принудительных работ или лишения свободы на срок до одного года</w:t>
      </w:r>
    </w:p>
    <w:p w:rsidR="002E3B09" w:rsidRDefault="002E3B09" w:rsidP="002E3B09">
      <w:pPr>
        <w:widowControl/>
        <w:ind w:firstLine="709"/>
        <w:jc w:val="both"/>
      </w:pPr>
    </w:p>
    <w:p w:rsidR="002E3B09" w:rsidRDefault="002E3B09" w:rsidP="002E3B09">
      <w:pPr>
        <w:widowControl/>
        <w:ind w:firstLine="709"/>
        <w:jc w:val="both"/>
        <w:rPr>
          <w:sz w:val="20"/>
        </w:rPr>
      </w:pPr>
    </w:p>
    <w:p w:rsidR="00D44C34" w:rsidRDefault="00D44C34">
      <w:bookmarkStart w:id="0" w:name="_GoBack"/>
      <w:bookmarkEnd w:id="0"/>
    </w:p>
    <w:sectPr w:rsidR="00D44C34">
      <w:headerReference w:type="default" r:id="rId5"/>
      <w:footerReference w:type="first" r:id="rId6"/>
      <w:pgSz w:w="11906" w:h="16838"/>
      <w:pgMar w:top="680" w:right="567" w:bottom="680" w:left="1418" w:header="720" w:footer="45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ayout w:type="fixed"/>
      <w:tblLook w:val="04A0" w:firstRow="1" w:lastRow="0" w:firstColumn="1" w:lastColumn="0" w:noHBand="0" w:noVBand="1"/>
    </w:tblPr>
    <w:tblGrid>
      <w:gridCol w:w="3643"/>
    </w:tblGrid>
    <w:tr w:rsidR="00933A45">
      <w:trPr>
        <w:trHeight w:val="57"/>
        <w:jc w:val="right"/>
      </w:trPr>
      <w:tc>
        <w:tcPr>
          <w:tcW w:w="364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bookmarkStart w:id="1" w:name="_Hlk129696017" w:displacedByCustomXml="next"/>
        <w:bookmarkStart w:id="2" w:name="SIGNERORG1" w:displacedByCustomXml="next"/>
        <w:sdt>
          <w:sdtPr>
            <w:id w:val="1772823743"/>
            <w:lock w:val="contentLocked"/>
          </w:sdtPr>
          <w:sdtEndPr/>
          <w:sdtContent>
            <w:p w:rsidR="00933A45" w:rsidRDefault="002E3B09">
              <w:pPr>
                <w:spacing w:after="60"/>
                <w:jc w:val="center"/>
                <w:rPr>
                  <w:sz w:val="16"/>
                </w:rPr>
              </w:pPr>
              <w:r>
                <w:rPr>
                  <w:sz w:val="16"/>
                </w:rPr>
                <w:t>организация</w:t>
              </w:r>
              <w:bookmarkEnd w:id="2"/>
            </w:p>
            <w:p w:rsidR="00933A45" w:rsidRDefault="002E3B09">
              <w:pPr>
                <w:spacing w:after="60"/>
                <w:jc w:val="center"/>
              </w:pPr>
              <w:r>
                <w:rPr>
                  <w:sz w:val="16"/>
                </w:rPr>
                <w:t xml:space="preserve">№ </w:t>
              </w:r>
              <w:bookmarkStart w:id="3" w:name="REGNUMSTAMP"/>
              <w:r>
                <w:rPr>
                  <w:color w:val="BFBFBF"/>
                  <w:sz w:val="16"/>
                </w:rPr>
                <w:t>рег.номер</w:t>
              </w:r>
            </w:p>
            <w:bookmarkEnd w:id="3" w:displacedByCustomXml="next"/>
          </w:sdtContent>
        </w:sdt>
      </w:tc>
    </w:tr>
    <w:bookmarkEnd w:id="1"/>
  </w:tbl>
  <w:p w:rsidR="00933A45" w:rsidRDefault="002E3B09">
    <w:pPr>
      <w:pStyle w:val="a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45" w:rsidRDefault="002E3B09">
    <w:pPr>
      <w:pStyle w:val="a3"/>
      <w:jc w:val="center"/>
    </w:pPr>
    <w:r>
      <w:fldChar w:fldCharType="begin"/>
    </w:r>
    <w:r>
      <w:instrText xml:space="preserve">PAGE </w:instrText>
    </w:r>
    <w:r>
      <w:fldChar w:fldCharType="separate"/>
    </w:r>
    <w:r>
      <w:rPr>
        <w:noProof/>
      </w:rPr>
      <w:t>12</w:t>
    </w:r>
    <w:r>
      <w:fldChar w:fldCharType="end"/>
    </w:r>
  </w:p>
  <w:p w:rsidR="00933A45" w:rsidRDefault="002E3B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C26"/>
    <w:multiLevelType w:val="multilevel"/>
    <w:tmpl w:val="A0EE62E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 w15:restartNumberingAfterBreak="0">
    <w:nsid w:val="0E550741"/>
    <w:multiLevelType w:val="multilevel"/>
    <w:tmpl w:val="0F162E5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 w15:restartNumberingAfterBreak="0">
    <w:nsid w:val="1585554A"/>
    <w:multiLevelType w:val="multilevel"/>
    <w:tmpl w:val="8576773E"/>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 w15:restartNumberingAfterBreak="0">
    <w:nsid w:val="2F1D3B11"/>
    <w:multiLevelType w:val="multilevel"/>
    <w:tmpl w:val="6122B614"/>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4" w15:restartNumberingAfterBreak="0">
    <w:nsid w:val="305E421F"/>
    <w:multiLevelType w:val="multilevel"/>
    <w:tmpl w:val="C320280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5" w15:restartNumberingAfterBreak="0">
    <w:nsid w:val="4F4B45D7"/>
    <w:multiLevelType w:val="multilevel"/>
    <w:tmpl w:val="36E4391E"/>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6" w15:restartNumberingAfterBreak="0">
    <w:nsid w:val="544E709D"/>
    <w:multiLevelType w:val="multilevel"/>
    <w:tmpl w:val="F03A740E"/>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7" w15:restartNumberingAfterBreak="0">
    <w:nsid w:val="54CC624A"/>
    <w:multiLevelType w:val="multilevel"/>
    <w:tmpl w:val="FD34791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8" w15:restartNumberingAfterBreak="0">
    <w:nsid w:val="5A4D7E25"/>
    <w:multiLevelType w:val="multilevel"/>
    <w:tmpl w:val="680E5E3E"/>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9" w15:restartNumberingAfterBreak="0">
    <w:nsid w:val="756E475C"/>
    <w:multiLevelType w:val="multilevel"/>
    <w:tmpl w:val="8E1E8F1E"/>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0" w15:restartNumberingAfterBreak="0">
    <w:nsid w:val="75EE6FCF"/>
    <w:multiLevelType w:val="multilevel"/>
    <w:tmpl w:val="6F5EC0C6"/>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1" w15:restartNumberingAfterBreak="0">
    <w:nsid w:val="7D02192F"/>
    <w:multiLevelType w:val="multilevel"/>
    <w:tmpl w:val="8EDE716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num w:numId="1">
    <w:abstractNumId w:val="10"/>
  </w:num>
  <w:num w:numId="2">
    <w:abstractNumId w:val="11"/>
  </w:num>
  <w:num w:numId="3">
    <w:abstractNumId w:val="5"/>
  </w:num>
  <w:num w:numId="4">
    <w:abstractNumId w:val="6"/>
  </w:num>
  <w:num w:numId="5">
    <w:abstractNumId w:val="7"/>
  </w:num>
  <w:num w:numId="6">
    <w:abstractNumId w:val="2"/>
  </w:num>
  <w:num w:numId="7">
    <w:abstractNumId w:val="9"/>
  </w:num>
  <w:num w:numId="8">
    <w:abstractNumId w:val="1"/>
  </w:num>
  <w:num w:numId="9">
    <w:abstractNumId w:val="4"/>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09"/>
    <w:rsid w:val="002E3B09"/>
    <w:rsid w:val="00D44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41360-3476-4FCD-8DCF-9405F6B8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E3B09"/>
    <w:pPr>
      <w:widowControl w:val="0"/>
      <w:spacing w:after="0" w:line="240" w:lineRule="auto"/>
    </w:pPr>
    <w:rPr>
      <w:rFonts w:ascii="Times New Roman" w:eastAsia="Times New Roman" w:hAnsi="Times New Roman" w:cs="Times New Roman"/>
      <w:color w:val="000000"/>
      <w:sz w:val="28"/>
      <w:szCs w:val="20"/>
      <w:lang w:eastAsia="ru-RU"/>
    </w:rPr>
  </w:style>
  <w:style w:type="paragraph" w:styleId="1">
    <w:name w:val="heading 1"/>
    <w:next w:val="a"/>
    <w:link w:val="10"/>
    <w:uiPriority w:val="9"/>
    <w:qFormat/>
    <w:rsid w:val="002E3B09"/>
    <w:pPr>
      <w:widowControl w:val="0"/>
      <w:spacing w:before="120" w:after="120" w:line="276" w:lineRule="auto"/>
      <w:jc w:val="both"/>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B09"/>
    <w:rPr>
      <w:rFonts w:ascii="XO Thames" w:eastAsia="Times New Roman" w:hAnsi="XO Thames" w:cs="Times New Roman"/>
      <w:b/>
      <w:color w:val="000000"/>
      <w:sz w:val="32"/>
      <w:szCs w:val="20"/>
      <w:lang w:eastAsia="ru-RU"/>
    </w:rPr>
  </w:style>
  <w:style w:type="paragraph" w:styleId="a3">
    <w:name w:val="header"/>
    <w:basedOn w:val="a"/>
    <w:link w:val="11"/>
    <w:rsid w:val="002E3B09"/>
    <w:pPr>
      <w:tabs>
        <w:tab w:val="center" w:pos="4677"/>
        <w:tab w:val="right" w:pos="9355"/>
      </w:tabs>
    </w:pPr>
  </w:style>
  <w:style w:type="character" w:customStyle="1" w:styleId="a4">
    <w:name w:val="Верхний колонтитул Знак"/>
    <w:basedOn w:val="a0"/>
    <w:uiPriority w:val="99"/>
    <w:semiHidden/>
    <w:rsid w:val="002E3B09"/>
    <w:rPr>
      <w:rFonts w:ascii="Times New Roman" w:eastAsia="Times New Roman" w:hAnsi="Times New Roman" w:cs="Times New Roman"/>
      <w:color w:val="000000"/>
      <w:sz w:val="28"/>
      <w:szCs w:val="20"/>
      <w:lang w:eastAsia="ru-RU"/>
    </w:rPr>
  </w:style>
  <w:style w:type="character" w:customStyle="1" w:styleId="11">
    <w:name w:val="Верхний колонтитул Знак1"/>
    <w:basedOn w:val="a0"/>
    <w:link w:val="a3"/>
    <w:rsid w:val="002E3B09"/>
    <w:rPr>
      <w:rFonts w:ascii="Times New Roman" w:eastAsia="Times New Roman" w:hAnsi="Times New Roman" w:cs="Times New Roman"/>
      <w:color w:val="000000"/>
      <w:sz w:val="28"/>
      <w:szCs w:val="20"/>
      <w:lang w:eastAsia="ru-RU"/>
    </w:rPr>
  </w:style>
  <w:style w:type="paragraph" w:styleId="a5">
    <w:name w:val="footer"/>
    <w:basedOn w:val="a"/>
    <w:link w:val="12"/>
    <w:rsid w:val="002E3B09"/>
    <w:pPr>
      <w:tabs>
        <w:tab w:val="center" w:pos="4677"/>
        <w:tab w:val="right" w:pos="9355"/>
      </w:tabs>
    </w:pPr>
  </w:style>
  <w:style w:type="character" w:customStyle="1" w:styleId="a6">
    <w:name w:val="Нижний колонтитул Знак"/>
    <w:basedOn w:val="a0"/>
    <w:uiPriority w:val="99"/>
    <w:semiHidden/>
    <w:rsid w:val="002E3B09"/>
    <w:rPr>
      <w:rFonts w:ascii="Times New Roman" w:eastAsia="Times New Roman" w:hAnsi="Times New Roman" w:cs="Times New Roman"/>
      <w:color w:val="000000"/>
      <w:sz w:val="28"/>
      <w:szCs w:val="20"/>
      <w:lang w:eastAsia="ru-RU"/>
    </w:rPr>
  </w:style>
  <w:style w:type="character" w:customStyle="1" w:styleId="12">
    <w:name w:val="Нижний колонтитул Знак1"/>
    <w:basedOn w:val="a0"/>
    <w:link w:val="a5"/>
    <w:rsid w:val="002E3B09"/>
    <w:rPr>
      <w:rFonts w:ascii="Times New Roman" w:eastAsia="Times New Roman"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4292</Words>
  <Characters>24469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Лобач</dc:creator>
  <cp:keywords/>
  <dc:description/>
  <cp:lastModifiedBy>Лобач</cp:lastModifiedBy>
  <cp:revision>1</cp:revision>
  <dcterms:created xsi:type="dcterms:W3CDTF">2026-04-28T11:35:00Z</dcterms:created>
  <dcterms:modified xsi:type="dcterms:W3CDTF">2026-04-28T11:35:00Z</dcterms:modified>
</cp:coreProperties>
</file>