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907" w:rsidRDefault="00A90BE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Установлен порядок направления средств </w:t>
      </w:r>
      <w:proofErr w:type="spellStart"/>
      <w:r>
        <w:rPr>
          <w:rFonts w:ascii="Times New Roman" w:hAnsi="Times New Roman"/>
          <w:b/>
          <w:sz w:val="28"/>
        </w:rPr>
        <w:t>маткапитала</w:t>
      </w:r>
      <w:proofErr w:type="spellEnd"/>
      <w:r>
        <w:rPr>
          <w:rFonts w:ascii="Times New Roman" w:hAnsi="Times New Roman"/>
          <w:b/>
          <w:sz w:val="28"/>
        </w:rPr>
        <w:t xml:space="preserve"> на строительство объекта ИЖС с привлечением организации по договору строительного подряда с использованием счетов </w:t>
      </w:r>
      <w:proofErr w:type="spellStart"/>
      <w:r>
        <w:rPr>
          <w:rFonts w:ascii="Times New Roman" w:hAnsi="Times New Roman"/>
          <w:b/>
          <w:sz w:val="28"/>
        </w:rPr>
        <w:t>эскроу</w:t>
      </w:r>
      <w:proofErr w:type="spellEnd"/>
      <w:r>
        <w:rPr>
          <w:rFonts w:ascii="Times New Roman" w:hAnsi="Times New Roman"/>
          <w:b/>
          <w:sz w:val="28"/>
        </w:rPr>
        <w:t xml:space="preserve">   </w:t>
      </w:r>
    </w:p>
    <w:p w:rsidR="00103907" w:rsidRDefault="0010390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Постановлением Правительства Российской Федерации от 25.01.2025 № 46 внесены изменения в постановление Правительства Российской Федерации от 12.12.2007      № 862. Постановлением, в частности, определен перечень документов, необходимых для направления сред</w:t>
      </w:r>
      <w:r>
        <w:rPr>
          <w:rFonts w:ascii="Times New Roman" w:hAnsi="Times New Roman"/>
          <w:sz w:val="28"/>
        </w:rPr>
        <w:t>ств материнского (семейного) капитала на оплату строительства объекта индивидуального жилищного строительства (ИЖС), а также порядок принятия соответствующего решения Социальным фондом России и порядок перечисления средств на банковский счет кредитной орга</w:t>
      </w:r>
      <w:r>
        <w:rPr>
          <w:rFonts w:ascii="Times New Roman" w:hAnsi="Times New Roman"/>
          <w:sz w:val="28"/>
        </w:rPr>
        <w:t xml:space="preserve">низации, предоставившей денежные средства на строительство соответствующего объекта индивидуального жилищного строительства. </w:t>
      </w:r>
    </w:p>
    <w:p w:rsidR="00103907" w:rsidRDefault="001039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03907" w:rsidRDefault="00A90BE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Профилактика телефонного мошенничества   </w:t>
      </w:r>
    </w:p>
    <w:p w:rsidR="00103907" w:rsidRDefault="001039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Прокуратура Беляевского района напоминает о широком распространении телефонного мошенн</w:t>
      </w:r>
      <w:r>
        <w:rPr>
          <w:rFonts w:ascii="Times New Roman" w:hAnsi="Times New Roman"/>
          <w:sz w:val="28"/>
        </w:rPr>
        <w:t xml:space="preserve">ичества.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Если незнакомый человек по телефону дает вам указания о совершении каких-либо действий – прекратите разговор, положите трубку. Мошенники могут представиться сотрудниками правоохранительных органов или банков, сотовых операторов, социальных служб </w:t>
      </w:r>
      <w:r>
        <w:rPr>
          <w:rFonts w:ascii="Times New Roman" w:hAnsi="Times New Roman"/>
          <w:sz w:val="28"/>
        </w:rPr>
        <w:t xml:space="preserve">или других организаций.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Запомните, что никакие следственные действия и оперативно-розыскные мероприятия по телефону не проводятся, а сотрудники правоохранительных органов и банков никогда не просят граждан переводить деньги на «безопасные» счета, проводит</w:t>
      </w:r>
      <w:r>
        <w:rPr>
          <w:rFonts w:ascii="Times New Roman" w:hAnsi="Times New Roman"/>
          <w:sz w:val="28"/>
        </w:rPr>
        <w:t xml:space="preserve">ь операции с недвижимостью.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 верьте сообщениям о прекращении действия вашего номера сотового телефона. При необходимости, обратитесь в офис оператора связи или на горячую линию. Если вам сообщают, что родственник попал в беду и срочно требуются деньги, </w:t>
      </w:r>
      <w:r>
        <w:rPr>
          <w:rFonts w:ascii="Times New Roman" w:hAnsi="Times New Roman"/>
          <w:sz w:val="28"/>
        </w:rPr>
        <w:t xml:space="preserve">прервите разговор и свяжитесь с близкими, выясните судьбу человека, о котором идет речь. Не устанавливайте на свой мобильный телефон никакие приложения по просьбе звонящих, кем бы они не представлялись. С помощью таких программ мошенники получают доступ к </w:t>
      </w:r>
      <w:r>
        <w:rPr>
          <w:rFonts w:ascii="Times New Roman" w:hAnsi="Times New Roman"/>
          <w:sz w:val="28"/>
        </w:rPr>
        <w:t xml:space="preserve">телефону и могут похитить денежные средства со счетов, оформить кредиты. Не сообщайте незнакомцам свои персональные данные, реквизиты банковских карт, коды из </w:t>
      </w:r>
      <w:proofErr w:type="spellStart"/>
      <w:r>
        <w:rPr>
          <w:rFonts w:ascii="Times New Roman" w:hAnsi="Times New Roman"/>
          <w:sz w:val="28"/>
        </w:rPr>
        <w:t>смс-сообщений</w:t>
      </w:r>
      <w:proofErr w:type="spellEnd"/>
      <w:r>
        <w:rPr>
          <w:rFonts w:ascii="Times New Roman" w:hAnsi="Times New Roman"/>
          <w:sz w:val="28"/>
        </w:rPr>
        <w:t xml:space="preserve">, а также сведения об имуществе.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Будьте бдительны и предупредите своих родственнико</w:t>
      </w:r>
      <w:r>
        <w:rPr>
          <w:rFonts w:ascii="Times New Roman" w:hAnsi="Times New Roman"/>
          <w:sz w:val="28"/>
        </w:rPr>
        <w:t xml:space="preserve">в об уловках мошенников. </w:t>
      </w:r>
    </w:p>
    <w:p w:rsidR="00103907" w:rsidRDefault="001039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03907" w:rsidRDefault="00A90BE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 продажу детям сигарет введена уголовная ответственность</w:t>
      </w:r>
    </w:p>
    <w:p w:rsidR="00103907" w:rsidRDefault="001039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Продажа несовершеннолетнему табачной продукции, табачных изделий, </w:t>
      </w:r>
      <w:proofErr w:type="spellStart"/>
      <w:r>
        <w:rPr>
          <w:rFonts w:ascii="Times New Roman" w:hAnsi="Times New Roman"/>
          <w:sz w:val="28"/>
        </w:rPr>
        <w:t>никотинсодержащей</w:t>
      </w:r>
      <w:proofErr w:type="spellEnd"/>
      <w:r>
        <w:rPr>
          <w:rFonts w:ascii="Times New Roman" w:hAnsi="Times New Roman"/>
          <w:sz w:val="28"/>
        </w:rPr>
        <w:t xml:space="preserve"> продукции или сырья для их производства, </w:t>
      </w:r>
      <w:r>
        <w:rPr>
          <w:rFonts w:ascii="Times New Roman" w:hAnsi="Times New Roman"/>
          <w:sz w:val="28"/>
        </w:rPr>
        <w:lastRenderedPageBreak/>
        <w:t xml:space="preserve">кальянов, устройств для потребления </w:t>
      </w:r>
      <w:proofErr w:type="spellStart"/>
      <w:r>
        <w:rPr>
          <w:rFonts w:ascii="Times New Roman" w:hAnsi="Times New Roman"/>
          <w:sz w:val="28"/>
        </w:rPr>
        <w:t>никотинс</w:t>
      </w:r>
      <w:r>
        <w:rPr>
          <w:rFonts w:ascii="Times New Roman" w:hAnsi="Times New Roman"/>
          <w:sz w:val="28"/>
        </w:rPr>
        <w:t>одержащей</w:t>
      </w:r>
      <w:proofErr w:type="spellEnd"/>
      <w:r>
        <w:rPr>
          <w:rFonts w:ascii="Times New Roman" w:hAnsi="Times New Roman"/>
          <w:sz w:val="28"/>
        </w:rPr>
        <w:t xml:space="preserve"> продукции или сырья для их производства влечет наложение административного штрафа (ч. 3 ст. 14.53 </w:t>
      </w:r>
      <w:proofErr w:type="spellStart"/>
      <w:r>
        <w:rPr>
          <w:rFonts w:ascii="Times New Roman" w:hAnsi="Times New Roman"/>
          <w:sz w:val="28"/>
        </w:rPr>
        <w:t>КоАП</w:t>
      </w:r>
      <w:proofErr w:type="spellEnd"/>
      <w:r>
        <w:rPr>
          <w:rFonts w:ascii="Times New Roman" w:hAnsi="Times New Roman"/>
          <w:sz w:val="28"/>
        </w:rPr>
        <w:t xml:space="preserve"> РФ). С 8 января 2025 года введена уголовная ответственность за повторную продажу несовершеннолетним табачной и иной продукции (ст. 151.1 УК РФ)</w:t>
      </w:r>
      <w:r>
        <w:rPr>
          <w:rFonts w:ascii="Times New Roman" w:hAnsi="Times New Roman"/>
          <w:sz w:val="28"/>
        </w:rPr>
        <w:t>. Уголовному преследованию подлежит ПОВТОРНАЯ продажа несовершеннолетним: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табачной и </w:t>
      </w:r>
      <w:proofErr w:type="spellStart"/>
      <w:r>
        <w:rPr>
          <w:rFonts w:ascii="Times New Roman" w:hAnsi="Times New Roman"/>
          <w:sz w:val="28"/>
        </w:rPr>
        <w:t>никотинсодержащей</w:t>
      </w:r>
      <w:proofErr w:type="spellEnd"/>
      <w:r>
        <w:rPr>
          <w:rFonts w:ascii="Times New Roman" w:hAnsi="Times New Roman"/>
          <w:sz w:val="28"/>
        </w:rPr>
        <w:t xml:space="preserve"> продукции и сырья для их производства; 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табачных изделий; 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кальянов, устройств для потребления </w:t>
      </w:r>
      <w:proofErr w:type="spellStart"/>
      <w:r>
        <w:rPr>
          <w:rFonts w:ascii="Times New Roman" w:hAnsi="Times New Roman"/>
          <w:sz w:val="28"/>
        </w:rPr>
        <w:t>никотинсодержащей</w:t>
      </w:r>
      <w:proofErr w:type="spellEnd"/>
      <w:r>
        <w:rPr>
          <w:rFonts w:ascii="Times New Roman" w:hAnsi="Times New Roman"/>
          <w:sz w:val="28"/>
        </w:rPr>
        <w:t xml:space="preserve"> продукции. 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Повторность – соверше</w:t>
      </w:r>
      <w:r>
        <w:rPr>
          <w:rFonts w:ascii="Times New Roman" w:hAnsi="Times New Roman"/>
          <w:sz w:val="28"/>
        </w:rPr>
        <w:t xml:space="preserve">ние таких действий в период, когда лицо подвергнуто административному наказанию. 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Виды уголовных наказаний: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штраф от 50 тыс. до 80 тыс. руб. либо  в размере зарплаты или иного дохода осужденного за период от 3 до 6 месяцев;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исправительные работы на с</w:t>
      </w:r>
      <w:r>
        <w:rPr>
          <w:rFonts w:ascii="Times New Roman" w:hAnsi="Times New Roman"/>
          <w:sz w:val="28"/>
        </w:rPr>
        <w:t xml:space="preserve">рок до 1 года с лишением права занимать определенные должности или заниматься определенной деятельностью на срок до 3 лет или без такового. </w:t>
      </w:r>
    </w:p>
    <w:p w:rsidR="00103907" w:rsidRDefault="001039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03907" w:rsidRDefault="00A90BE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Миграционная политика России: курс на </w:t>
      </w:r>
      <w:proofErr w:type="spellStart"/>
      <w:r>
        <w:rPr>
          <w:rFonts w:ascii="Times New Roman" w:hAnsi="Times New Roman"/>
          <w:b/>
          <w:sz w:val="28"/>
        </w:rPr>
        <w:t>цифровизацию</w:t>
      </w:r>
      <w:proofErr w:type="spellEnd"/>
      <w:r>
        <w:rPr>
          <w:rFonts w:ascii="Times New Roman" w:hAnsi="Times New Roman"/>
          <w:b/>
          <w:sz w:val="28"/>
        </w:rPr>
        <w:t xml:space="preserve"> и </w:t>
      </w:r>
      <w:proofErr w:type="spellStart"/>
      <w:r>
        <w:rPr>
          <w:rFonts w:ascii="Times New Roman" w:hAnsi="Times New Roman"/>
          <w:b/>
          <w:sz w:val="28"/>
        </w:rPr>
        <w:t>гуманизацию</w:t>
      </w:r>
      <w:proofErr w:type="spellEnd"/>
      <w:r>
        <w:rPr>
          <w:rFonts w:ascii="Times New Roman" w:hAnsi="Times New Roman"/>
          <w:b/>
          <w:sz w:val="28"/>
        </w:rPr>
        <w:t xml:space="preserve">. </w:t>
      </w:r>
    </w:p>
    <w:p w:rsidR="00103907" w:rsidRDefault="001039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феврале 2025 года вступили в силу масштабные изменения в законодательстве в сфере миграции, отражающие две ключевые тенденции: </w:t>
      </w:r>
      <w:proofErr w:type="spellStart"/>
      <w:r>
        <w:rPr>
          <w:rFonts w:ascii="Times New Roman" w:hAnsi="Times New Roman"/>
          <w:sz w:val="28"/>
        </w:rPr>
        <w:t>цифровизацию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sz w:val="28"/>
        </w:rPr>
        <w:t>гуманизацию</w:t>
      </w:r>
      <w:proofErr w:type="spellEnd"/>
      <w:r>
        <w:rPr>
          <w:rFonts w:ascii="Times New Roman" w:hAnsi="Times New Roman"/>
          <w:sz w:val="28"/>
        </w:rPr>
        <w:t xml:space="preserve"> миграционного процесса.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Цифровая трансформация миграционной системы становится главным вектором раз</w:t>
      </w:r>
      <w:r>
        <w:rPr>
          <w:rFonts w:ascii="Times New Roman" w:hAnsi="Times New Roman"/>
          <w:sz w:val="28"/>
        </w:rPr>
        <w:t xml:space="preserve">вития. Теперь, в соответствии с п. 4 ст. 6 ФЗ «О правовом положении иностранных граждан в РФ», иностранные граждане могут подавать документы на разрешение на временное проживание через </w:t>
      </w:r>
      <w:proofErr w:type="spellStart"/>
      <w:r>
        <w:rPr>
          <w:rFonts w:ascii="Times New Roman" w:hAnsi="Times New Roman"/>
          <w:sz w:val="28"/>
        </w:rPr>
        <w:t>Госуслуги</w:t>
      </w:r>
      <w:proofErr w:type="spellEnd"/>
      <w:r>
        <w:rPr>
          <w:rFonts w:ascii="Times New Roman" w:hAnsi="Times New Roman"/>
          <w:sz w:val="28"/>
        </w:rPr>
        <w:t>, что существенно упрощает процедуру и экономит время заявител</w:t>
      </w:r>
      <w:r>
        <w:rPr>
          <w:rFonts w:ascii="Times New Roman" w:hAnsi="Times New Roman"/>
          <w:sz w:val="28"/>
        </w:rPr>
        <w:t xml:space="preserve">ей.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Введение биометрической идентификации (ст. 7 ФЗ «О миграционном учете иностранных граждан») и электронных трудовых договоров (п. 2 ст. 5.1 ФЗ «О правовом положении иностранных граждан») – это не просто технические новшества, а серьезный шаг к созданию</w:t>
      </w:r>
      <w:r>
        <w:rPr>
          <w:rFonts w:ascii="Times New Roman" w:hAnsi="Times New Roman"/>
          <w:sz w:val="28"/>
        </w:rPr>
        <w:t xml:space="preserve"> единой цифровой экосистемы миграционного учета.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Примечательно, что наряду с усилением контроля наблюдается явная </w:t>
      </w:r>
      <w:proofErr w:type="spellStart"/>
      <w:r>
        <w:rPr>
          <w:rFonts w:ascii="Times New Roman" w:hAnsi="Times New Roman"/>
          <w:sz w:val="28"/>
        </w:rPr>
        <w:t>гуманизация</w:t>
      </w:r>
      <w:proofErr w:type="spellEnd"/>
      <w:r>
        <w:rPr>
          <w:rFonts w:ascii="Times New Roman" w:hAnsi="Times New Roman"/>
          <w:sz w:val="28"/>
        </w:rPr>
        <w:t xml:space="preserve"> миграционного законодательства. Увеличение срока временного пребывания до 180 дней в течение года, упрощение процедуры получения </w:t>
      </w:r>
      <w:r>
        <w:rPr>
          <w:rFonts w:ascii="Times New Roman" w:hAnsi="Times New Roman"/>
          <w:sz w:val="28"/>
        </w:rPr>
        <w:t xml:space="preserve">гражданства для носителей русского языка – эти изменения демонстрируют стремление создать более комфортные условия для законопослушных мигрантов.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Особого внимания заслуживает введение обязательной дактилоскопической регистрации для всех иностранных работн</w:t>
      </w:r>
      <w:r>
        <w:rPr>
          <w:rFonts w:ascii="Times New Roman" w:hAnsi="Times New Roman"/>
          <w:sz w:val="28"/>
        </w:rPr>
        <w:t xml:space="preserve">иков (ст. 13.1 </w:t>
      </w:r>
      <w:r>
        <w:rPr>
          <w:rFonts w:ascii="Times New Roman" w:hAnsi="Times New Roman"/>
          <w:sz w:val="28"/>
        </w:rPr>
        <w:lastRenderedPageBreak/>
        <w:t>ФЗ «О правовом положении иностранных граждан»). Это не просто ужесточение контроля, а создание надежной системы идентификации, которая в перспективе должна защитить как самих мигрантов, так и работодателей от возможных нарушений. Новая мигра</w:t>
      </w:r>
      <w:r>
        <w:rPr>
          <w:rFonts w:ascii="Times New Roman" w:hAnsi="Times New Roman"/>
          <w:sz w:val="28"/>
        </w:rPr>
        <w:t xml:space="preserve">ционная политика направлена на создание «умной» системы, где современные технологии работают на благо общества. Это проявляется в сокращении сроков рассмотрения документов, упрощении административных процедур и повышении прозрачности всех процессов. Важно </w:t>
      </w:r>
      <w:r>
        <w:rPr>
          <w:rFonts w:ascii="Times New Roman" w:hAnsi="Times New Roman"/>
          <w:sz w:val="28"/>
        </w:rPr>
        <w:t xml:space="preserve">отметить, что ужесточение ответственности за нарушения миграционного законодательства идет параллельно с созданием комфортных условий для легальных мигрантов. Такой сбалансированный подход призван сформировать здоровую миграционную среду, где правопорядок </w:t>
      </w:r>
      <w:r>
        <w:rPr>
          <w:rFonts w:ascii="Times New Roman" w:hAnsi="Times New Roman"/>
          <w:sz w:val="28"/>
        </w:rPr>
        <w:t xml:space="preserve">и человечность идут рука об руку.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Важным направлением является разработка мер по интеграции мигрантов в общество принимающей страны. Законодательство предусматривает программы адаптации, обучение языку, культуре и основам законодательства.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Так, например,</w:t>
      </w:r>
      <w:r>
        <w:rPr>
          <w:rFonts w:ascii="Times New Roman" w:hAnsi="Times New Roman"/>
          <w:sz w:val="28"/>
        </w:rPr>
        <w:t xml:space="preserve"> Указом Президента РФ от 31.10.2018 № 622 «О Концепции государственной миграционной политики Российской Федерации на 2019 - 2025 годы» определены основные принципы и задачи миграционной политики, в том числе, предусмотрены меры по повышению уровня социальн</w:t>
      </w:r>
      <w:r>
        <w:rPr>
          <w:rFonts w:ascii="Times New Roman" w:hAnsi="Times New Roman"/>
          <w:sz w:val="28"/>
        </w:rPr>
        <w:t>ой ответственности и гражданской активности среди мигрантов. Все вышеперечисленные меры направлены на создание эффективной системы контроля над миграционными процессами, минимизацию рисков, связанных с нелегальной миграцией, и обеспечение соблюдения прав к</w:t>
      </w:r>
      <w:r>
        <w:rPr>
          <w:rFonts w:ascii="Times New Roman" w:hAnsi="Times New Roman"/>
          <w:sz w:val="28"/>
        </w:rPr>
        <w:t xml:space="preserve">ак граждан страны, так и законных мигрантов. </w:t>
      </w:r>
    </w:p>
    <w:p w:rsidR="00103907" w:rsidRDefault="001039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03907" w:rsidRDefault="00A90BE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Перерасчет платы за коммунальные услуги   </w:t>
      </w:r>
    </w:p>
    <w:p w:rsidR="00103907" w:rsidRDefault="001039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силу статьи 153 Жилищного кодекса Российской Федерации граждане и организации обязаны своевременно вносить плату за коммунальные услуги.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временном, более пяти</w:t>
      </w:r>
      <w:r>
        <w:rPr>
          <w:rFonts w:ascii="Times New Roman" w:hAnsi="Times New Roman"/>
          <w:sz w:val="28"/>
        </w:rPr>
        <w:t xml:space="preserve"> полных календарных дней подряд, отсутствии потребителя в жилом помещении, не оборудованном индивидуальным или общим (квартирным) прибором учета при отсутствии технической возможности его установки, осуществляется перерасчет размера платы за предоставленну</w:t>
      </w:r>
      <w:r>
        <w:rPr>
          <w:rFonts w:ascii="Times New Roman" w:hAnsi="Times New Roman"/>
          <w:sz w:val="28"/>
        </w:rPr>
        <w:t xml:space="preserve">ю потребителю коммунальную услугу. Исключение - плата за коммунальные услуги по отоплению, электроснабжению и газоснабжению на цели отопления жилых (нежилых) помещений, а также за коммунальные услуги на </w:t>
      </w:r>
      <w:proofErr w:type="spellStart"/>
      <w:r>
        <w:rPr>
          <w:rFonts w:ascii="Times New Roman" w:hAnsi="Times New Roman"/>
          <w:sz w:val="28"/>
        </w:rPr>
        <w:t>общедомовые</w:t>
      </w:r>
      <w:proofErr w:type="spellEnd"/>
      <w:r>
        <w:rPr>
          <w:rFonts w:ascii="Times New Roman" w:hAnsi="Times New Roman"/>
          <w:sz w:val="28"/>
        </w:rPr>
        <w:t xml:space="preserve"> нужды.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временном, более пяти полных </w:t>
      </w:r>
      <w:r>
        <w:rPr>
          <w:rFonts w:ascii="Times New Roman" w:hAnsi="Times New Roman"/>
          <w:sz w:val="28"/>
        </w:rPr>
        <w:t xml:space="preserve">календарных дней подряд, отсутствии потребителя в жилом помещении также в установленном порядке осуществляется перерасчет размера платы за коммунальную услугу по обращению с твердыми коммунальными отходами.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перерасчета следует обратиться в управляющую</w:t>
      </w:r>
      <w:r>
        <w:rPr>
          <w:rFonts w:ascii="Times New Roman" w:hAnsi="Times New Roman"/>
          <w:sz w:val="28"/>
        </w:rPr>
        <w:t xml:space="preserve"> организацию, товарищество собственников жилья, жилищный кооператив или в </w:t>
      </w:r>
      <w:proofErr w:type="spellStart"/>
      <w:r>
        <w:rPr>
          <w:rFonts w:ascii="Times New Roman" w:hAnsi="Times New Roman"/>
          <w:sz w:val="28"/>
        </w:rPr>
        <w:lastRenderedPageBreak/>
        <w:t>ресурсоснабжающую</w:t>
      </w:r>
      <w:proofErr w:type="spellEnd"/>
      <w:r>
        <w:rPr>
          <w:rFonts w:ascii="Times New Roman" w:hAnsi="Times New Roman"/>
          <w:sz w:val="28"/>
        </w:rPr>
        <w:t xml:space="preserve"> организацию и к региональному оператору по обращению с твердыми коммунальными с заявлением о перерасчете размера платы за коммунальные услуги с указанием периода вр</w:t>
      </w:r>
      <w:r>
        <w:rPr>
          <w:rFonts w:ascii="Times New Roman" w:hAnsi="Times New Roman"/>
          <w:sz w:val="28"/>
        </w:rPr>
        <w:t xml:space="preserve">еменного отсутствия. </w:t>
      </w:r>
    </w:p>
    <w:p w:rsidR="00103907" w:rsidRDefault="001039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03907" w:rsidRDefault="00A90BE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Предоставление отпуска без сохранения заработной платы близким родственникам участника специальной военной операции   </w:t>
      </w:r>
    </w:p>
    <w:p w:rsidR="00103907" w:rsidRDefault="001039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Обязанность работодателя на основании письменного заявления работника предоставить отпуск без сохранения заработн</w:t>
      </w:r>
      <w:r>
        <w:rPr>
          <w:rFonts w:ascii="Times New Roman" w:hAnsi="Times New Roman"/>
          <w:sz w:val="28"/>
        </w:rPr>
        <w:t xml:space="preserve">ой платы предусмотрена статьей 128 Трудового кодекса Российской Федерации.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этом с 7 апреля 2025 года Федеральным законом от 07.04.2025 </w:t>
      </w:r>
      <w:r>
        <w:br/>
      </w:r>
      <w:r>
        <w:rPr>
          <w:rFonts w:ascii="Times New Roman" w:hAnsi="Times New Roman"/>
          <w:sz w:val="28"/>
        </w:rPr>
        <w:t>№ 64-ФЗ в указанную норму внесены изменения, согласно которым отпуск должен быть предоставлен не только родителям и</w:t>
      </w:r>
      <w:r>
        <w:rPr>
          <w:rFonts w:ascii="Times New Roman" w:hAnsi="Times New Roman"/>
          <w:sz w:val="28"/>
        </w:rPr>
        <w:t xml:space="preserve"> супругам военнослужащих, иных граждан,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сотрудников органов внутренних дел, федера</w:t>
      </w:r>
      <w:r>
        <w:rPr>
          <w:rFonts w:ascii="Times New Roman" w:hAnsi="Times New Roman"/>
          <w:sz w:val="28"/>
        </w:rPr>
        <w:t xml:space="preserve">льной противопожарной службы, таможенных органов, сотрудников учреждений и органов уголовно-исполнительной системы, органов принудительного исполнения, сотрудников, проходящих службу в войсках национальной гвардии Российской Федерации, а также их детям, в </w:t>
      </w:r>
      <w:r>
        <w:rPr>
          <w:rFonts w:ascii="Times New Roman" w:hAnsi="Times New Roman"/>
          <w:sz w:val="28"/>
        </w:rPr>
        <w:t xml:space="preserve">том числе совершеннолетним.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Отпуск продолжительностью до 14 календарных дней предоставляется в случае гибели или смерти военнослужащего вследствие ранения, контузии или увечья, полученных при исполнении им обязанностей военной службы, либо вследствие забо</w:t>
      </w:r>
      <w:r>
        <w:rPr>
          <w:rFonts w:ascii="Times New Roman" w:hAnsi="Times New Roman"/>
          <w:sz w:val="28"/>
        </w:rPr>
        <w:t xml:space="preserve">левания, связанного с прохождением данной службы.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Кроме того, работодатель обязан предоставить вышеуказанным лицам отпуск в случае получения родственником – военнослужащим ранения, контузии или увечья при исполнении обязанностей военной службы (службы), о</w:t>
      </w:r>
      <w:r>
        <w:rPr>
          <w:rFonts w:ascii="Times New Roman" w:hAnsi="Times New Roman"/>
          <w:sz w:val="28"/>
        </w:rPr>
        <w:t xml:space="preserve">бязанностей по контракту, либо заболевание, связанное с прохождением такой службы, в целях осуществления ухода за ним в соответствии с медицинским заключением. В этом случае его продолжительность составит до 35 календарных дней в году. </w:t>
      </w:r>
    </w:p>
    <w:p w:rsidR="00103907" w:rsidRDefault="001039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03907" w:rsidRDefault="00A90BE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Последствия выплат</w:t>
      </w:r>
      <w:r>
        <w:rPr>
          <w:rFonts w:ascii="Times New Roman" w:hAnsi="Times New Roman"/>
          <w:b/>
          <w:sz w:val="28"/>
        </w:rPr>
        <w:t xml:space="preserve">ы заработной платы «в конвертах»   </w:t>
      </w:r>
    </w:p>
    <w:p w:rsidR="00103907" w:rsidRDefault="001039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силу части 1 статьи 21 Трудового кодекса Российской Федерации работник имеет право на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Данному п</w:t>
      </w:r>
      <w:r>
        <w:rPr>
          <w:rFonts w:ascii="Times New Roman" w:hAnsi="Times New Roman"/>
          <w:sz w:val="28"/>
        </w:rPr>
        <w:t xml:space="preserve">раву корреспондирует обязанность работодателя надлежащим образом оформлять трудовые отношения, своевременно выплачивать заработную плату, перечислять страховые и налоговые взносы за работников организации.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Под выражением «заработная плата в конверте» понимается неофициальная выплата заработной платы, с которой не платится налог на доходы физических лиц и не делаются отчисления в соответствующие фонды Российской Федерации.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Работник, соглашающийся на выплату </w:t>
      </w:r>
      <w:r>
        <w:rPr>
          <w:rFonts w:ascii="Times New Roman" w:hAnsi="Times New Roman"/>
          <w:sz w:val="28"/>
        </w:rPr>
        <w:t>заработной платы «в конверте», должен осознавать все негативные последствия, к которым это может привести. Так, работодатель может не оплатить в полном объеме отпуск или не выплатить в полном объеме компенсацию за неиспользованный отпуск при увольнении раб</w:t>
      </w:r>
      <w:r>
        <w:rPr>
          <w:rFonts w:ascii="Times New Roman" w:hAnsi="Times New Roman"/>
          <w:sz w:val="28"/>
        </w:rPr>
        <w:t xml:space="preserve">отника, поскольку сумма отпускных высчитывается исходя из размера официальной части зарплаты, которая может быть значительно ниже «конвертной». 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Кроме того, работник подвергает себя риску не получить в полном объеме пособие по беременности и родам, по ухо</w:t>
      </w:r>
      <w:r>
        <w:rPr>
          <w:rFonts w:ascii="Times New Roman" w:hAnsi="Times New Roman"/>
          <w:sz w:val="28"/>
        </w:rPr>
        <w:t xml:space="preserve">ду за ребенком, по временной нетрудоспособности.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Отчисления в Фонд пенсионного и социального страхования РФ также производятся на основании официальной части зарплаты. Именно из этих отчислений складывается будущая пенсия работника. При увольнении работни</w:t>
      </w:r>
      <w:r>
        <w:rPr>
          <w:rFonts w:ascii="Times New Roman" w:hAnsi="Times New Roman"/>
          <w:sz w:val="28"/>
        </w:rPr>
        <w:t xml:space="preserve">ка выходное пособие и средний месячный заработок за период трудоустройства будут исчислены исходя из официальной части зарплаты.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небольшой официальной частью заработной платы работник рискует получить отказ банка от выдачи кредита или оформлении</w:t>
      </w:r>
      <w:r>
        <w:rPr>
          <w:rFonts w:ascii="Times New Roman" w:hAnsi="Times New Roman"/>
          <w:sz w:val="28"/>
        </w:rPr>
        <w:t xml:space="preserve"> ипотеки. Поскольку при выплате заработной платы «в конверте» работодатель с неофициальной части дохода не удерживает НДФЛ и не начисляет страховые взносы, ему грозит налоговая ответственность (пункт 3 статьи 122, пункт 1 статьи 123 Налогового кодекса Росс</w:t>
      </w:r>
      <w:r>
        <w:rPr>
          <w:rFonts w:ascii="Times New Roman" w:hAnsi="Times New Roman"/>
          <w:sz w:val="28"/>
        </w:rPr>
        <w:t xml:space="preserve">ийской Федерации), а также ответственность, предусмотренная Федеральным законом от 24.07.1998 </w:t>
      </w:r>
      <w:r>
        <w:br/>
      </w:r>
      <w:r>
        <w:rPr>
          <w:rFonts w:ascii="Times New Roman" w:hAnsi="Times New Roman"/>
          <w:sz w:val="28"/>
        </w:rPr>
        <w:t>№ 125-ФЗ «Об обязательном социальном страховании от несчастных случаев на производстве и профессиональных заболеваний» за неуплату страховых взносов. Кроме того,</w:t>
      </w:r>
      <w:r>
        <w:rPr>
          <w:rFonts w:ascii="Times New Roman" w:hAnsi="Times New Roman"/>
          <w:sz w:val="28"/>
        </w:rPr>
        <w:t xml:space="preserve"> ответственных должностных лиц организации могут привлечь к административной ответственности за грубое нарушение требований к бухучету. Это возможно, в частности, если искажение данных бухучета привело к занижению суммы НДФЛ на 10% и более (примечание 1 к </w:t>
      </w:r>
      <w:r>
        <w:rPr>
          <w:rFonts w:ascii="Times New Roman" w:hAnsi="Times New Roman"/>
          <w:sz w:val="28"/>
        </w:rPr>
        <w:t xml:space="preserve">статье 15.11 Кодекса Российской Федерации об административных правонарушениях). Если сумма недоимки достигнет крупного или особо крупного размера, должностных лиц организации (ИП) могут привлечь к уголовной ответственности по статьям 199, 199.1 Уголовного </w:t>
      </w:r>
      <w:r>
        <w:rPr>
          <w:rFonts w:ascii="Times New Roman" w:hAnsi="Times New Roman"/>
          <w:sz w:val="28"/>
        </w:rPr>
        <w:t xml:space="preserve">кодекса Российской Федерации.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практике возникают случаи, когда работники хотят получать «белую» заработную плату, но работодатели отказывают им в официальном оформлении. Для защиты нарушенных прав работник вправе обратиться территориальную государствен</w:t>
      </w:r>
      <w:r>
        <w:rPr>
          <w:rFonts w:ascii="Times New Roman" w:hAnsi="Times New Roman"/>
          <w:sz w:val="28"/>
        </w:rPr>
        <w:t>ную инспекцию труда, налоговый орган по месту регистрации организации либо в прокуратуру по месту нахождения работодателя, а также в суд с соответствующим исковым заявлением. В целях недопущения нарушения их трудовых прав гражданам при трудоустройстве на р</w:t>
      </w:r>
      <w:r>
        <w:rPr>
          <w:rFonts w:ascii="Times New Roman" w:hAnsi="Times New Roman"/>
          <w:sz w:val="28"/>
        </w:rPr>
        <w:t xml:space="preserve">аботу следует требовать от работодателя оформления </w:t>
      </w:r>
      <w:r>
        <w:rPr>
          <w:rFonts w:ascii="Times New Roman" w:hAnsi="Times New Roman"/>
          <w:sz w:val="28"/>
        </w:rPr>
        <w:lastRenderedPageBreak/>
        <w:t>письменного трудового договора, содержащего достоверные сведения об условиях оплаты труда (в том числе размер тарифной ставки или оклада (должностного оклада) работника, доплаты, надбавки и поощрительные в</w:t>
      </w:r>
      <w:r>
        <w:rPr>
          <w:rFonts w:ascii="Times New Roman" w:hAnsi="Times New Roman"/>
          <w:sz w:val="28"/>
        </w:rPr>
        <w:t xml:space="preserve">ыплаты), не соглашаться на выплату заработной платы «конвертах». </w:t>
      </w:r>
    </w:p>
    <w:p w:rsidR="00103907" w:rsidRDefault="001039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03907" w:rsidRDefault="00A90BE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Какие выплаты полагаются работникам при увольнении, в связи с сокращением штата   </w:t>
      </w:r>
    </w:p>
    <w:p w:rsidR="00103907" w:rsidRDefault="001039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Увольнение по сокращению штата или численности работников – одна из самых непростых ситуаций как для рабо</w:t>
      </w:r>
      <w:r>
        <w:rPr>
          <w:rFonts w:ascii="Times New Roman" w:hAnsi="Times New Roman"/>
          <w:sz w:val="28"/>
        </w:rPr>
        <w:t xml:space="preserve">тодателя, так и для сотрудника.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Трудовой кодекс Российской Федерации (далее – ТК РФ) комплексно регламентирует этот процесс, гарантируя работникам определенные выплаты и компенсации.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статье 81 ТК РФ увольнение по сокращению возможно в случае сок</w:t>
      </w:r>
      <w:r>
        <w:rPr>
          <w:rFonts w:ascii="Times New Roman" w:hAnsi="Times New Roman"/>
          <w:sz w:val="28"/>
        </w:rPr>
        <w:t xml:space="preserve">ращения численности или штата работников организации. Это может быть вызвано экономическими причинами, реорганизацией или оптимизацией рабочих процессов. Однако работодатель обязан соблюсти строгую процедуру: уведомить сотрудника письменно не менее чем за </w:t>
      </w:r>
      <w:r>
        <w:rPr>
          <w:rFonts w:ascii="Times New Roman" w:hAnsi="Times New Roman"/>
          <w:sz w:val="28"/>
        </w:rPr>
        <w:t xml:space="preserve">два месяца до даты увольнения (статья 180 ТК РФ). Этот срок дает работнику время подготовиться к изменениям, а также право на определенные выплаты в этот период.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Одной из ключевых гарантий для работников при сокращении является выходное пособие. В соответ</w:t>
      </w:r>
      <w:r>
        <w:rPr>
          <w:rFonts w:ascii="Times New Roman" w:hAnsi="Times New Roman"/>
          <w:sz w:val="28"/>
        </w:rPr>
        <w:t>ствии с частью 1 статьи 178 ТК РФ при расторжении трудового договора по данному основанию работодатель обязан выплатить работнику сумму в размере среднего месячного заработка. Эта выплата призвана смягчить финансовые последствия потери работы и дать возмож</w:t>
      </w:r>
      <w:r>
        <w:rPr>
          <w:rFonts w:ascii="Times New Roman" w:hAnsi="Times New Roman"/>
          <w:sz w:val="28"/>
        </w:rPr>
        <w:t xml:space="preserve">ность человеку адаптироваться к новым обстоятельствам. Средний месячный заработок рассчитывается на основе доходов за последние 12 месяцев работы с учетом всех выплат, предусмотренных системой оплаты труда (статья 139 ТК РФ).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Важно отметить, что выходное </w:t>
      </w:r>
      <w:r>
        <w:rPr>
          <w:rFonts w:ascii="Times New Roman" w:hAnsi="Times New Roman"/>
          <w:sz w:val="28"/>
        </w:rPr>
        <w:t>пособие выплачивается единовременно в день увольнения. Законодательство идет дальше и предоставляет дополнительную поддержку в виде сохранения среднего заработка на время поиска новой работы. Согласно части 1 статьи 178 ТК РФ уволенному по сокращению сотру</w:t>
      </w:r>
      <w:r>
        <w:rPr>
          <w:rFonts w:ascii="Times New Roman" w:hAnsi="Times New Roman"/>
          <w:sz w:val="28"/>
        </w:rPr>
        <w:t xml:space="preserve">днику выплачивается средний месячный заработок за второй месяц после увольнения, если он не успел трудоустроиться. Для этого необходимо предъявить работодателю трудовую книжку или иной документ, подтверждающий отсутствие нового места работы.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исключитель</w:t>
      </w:r>
      <w:r>
        <w:rPr>
          <w:rFonts w:ascii="Times New Roman" w:hAnsi="Times New Roman"/>
          <w:sz w:val="28"/>
        </w:rPr>
        <w:t>ных случаях, предусмотренных частью 2 статьи 178 ТК РФ, выплата может быть продлена и на третий месяц. Это возможно, если работник в течение двух недель после увольнения обратился в службу занятости населения, но так и не был трудоустроен. Решение о выплат</w:t>
      </w:r>
      <w:r>
        <w:rPr>
          <w:rFonts w:ascii="Times New Roman" w:hAnsi="Times New Roman"/>
          <w:sz w:val="28"/>
        </w:rPr>
        <w:t xml:space="preserve">е за третий месяц принимает служба занятости, а работодатель обязан его исполнить. Иногда работодатель и работник договариваются о расторжении трудового договора до истечения двухмесячного срока уведомления. В таком </w:t>
      </w:r>
      <w:r>
        <w:rPr>
          <w:rFonts w:ascii="Times New Roman" w:hAnsi="Times New Roman"/>
          <w:sz w:val="28"/>
        </w:rPr>
        <w:lastRenderedPageBreak/>
        <w:t>случае, согласно части 3 статьи 180 ТК Р</w:t>
      </w:r>
      <w:r>
        <w:rPr>
          <w:rFonts w:ascii="Times New Roman" w:hAnsi="Times New Roman"/>
          <w:sz w:val="28"/>
        </w:rPr>
        <w:t>Ф, сотруднику полагается дополнительная компенсация. Ее размер определяется как средний заработок, рассчитанный пропорционально времени, оставшемуся до окончания срока предупреждения об увольнении. Эта выплата не отменяет права на выходное пособие и сохран</w:t>
      </w:r>
      <w:r>
        <w:rPr>
          <w:rFonts w:ascii="Times New Roman" w:hAnsi="Times New Roman"/>
          <w:sz w:val="28"/>
        </w:rPr>
        <w:t xml:space="preserve">ение среднего заработка на период трудоустройства.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и при любом другом основании увольнения, сотруднику, уволенному по сокращению, полагается компенсация за неиспользованные дни отпуска (статья 127 ТК РФ). Размер этой выплаты зависит от количества дней</w:t>
      </w:r>
      <w:r>
        <w:rPr>
          <w:rFonts w:ascii="Times New Roman" w:hAnsi="Times New Roman"/>
          <w:sz w:val="28"/>
        </w:rPr>
        <w:t>, которые работник не успел отгулять, и его среднего дневного заработка. Если же сотрудник успел использовать отпуск «авансом», то из причитающихся ему сумм могут быть удержаны излишне выплаченные отпускные, но не более 20% от общей суммы выплат (статья 13</w:t>
      </w:r>
      <w:r>
        <w:rPr>
          <w:rFonts w:ascii="Times New Roman" w:hAnsi="Times New Roman"/>
          <w:sz w:val="28"/>
        </w:rPr>
        <w:t xml:space="preserve">8 ТК РФ).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Стоит помнить, что некоторые категории работников защищены от сокращения. Например, беременные женщины, сотрудницы с детьми до трех лет, одинокие матери с детьми до 14 лет (или ребенком-инвалидом до 18 лет) не могут быть уволены по данному основ</w:t>
      </w:r>
      <w:r>
        <w:rPr>
          <w:rFonts w:ascii="Times New Roman" w:hAnsi="Times New Roman"/>
          <w:sz w:val="28"/>
        </w:rPr>
        <w:t xml:space="preserve">анию (статья 261 ТК РФ).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Если же сокращение затрагивает работников </w:t>
      </w:r>
      <w:proofErr w:type="spellStart"/>
      <w:r>
        <w:rPr>
          <w:rFonts w:ascii="Times New Roman" w:hAnsi="Times New Roman"/>
          <w:sz w:val="28"/>
        </w:rPr>
        <w:t>предпенсионного</w:t>
      </w:r>
      <w:proofErr w:type="spellEnd"/>
      <w:r>
        <w:rPr>
          <w:rFonts w:ascii="Times New Roman" w:hAnsi="Times New Roman"/>
          <w:sz w:val="28"/>
        </w:rPr>
        <w:t xml:space="preserve"> возраста, им также полагаются стандартные выплаты, но работодатель должен учитывать их права на досрочное назначение пенсии при определенных условиях.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Увольнение по сокращ</w:t>
      </w:r>
      <w:r>
        <w:rPr>
          <w:rFonts w:ascii="Times New Roman" w:hAnsi="Times New Roman"/>
          <w:sz w:val="28"/>
        </w:rPr>
        <w:t>ению – это не только стресс для работника, но и серьезная ответственность для работодателя. Трудовой кодекс Российской Федерации устанавливает четкие рамки: выходное пособие, сохранение среднего заработка на период трудоустройства, компенсация за неиспольз</w:t>
      </w:r>
      <w:r>
        <w:rPr>
          <w:rFonts w:ascii="Times New Roman" w:hAnsi="Times New Roman"/>
          <w:sz w:val="28"/>
        </w:rPr>
        <w:t xml:space="preserve">ованный отпуск и, при необходимости, дополнительные выплаты за досрочное увольнение. Эти меры призваны защитить работника и обеспечить ему финансовую подушку на время поиска нового места работы.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Если вы столкнулись с сокращением, важно знать свои права и </w:t>
      </w:r>
      <w:r>
        <w:rPr>
          <w:rFonts w:ascii="Times New Roman" w:hAnsi="Times New Roman"/>
          <w:sz w:val="28"/>
        </w:rPr>
        <w:t>требовать их соблюдения. Работодатель же обязан не только выплатить все положенные суммы, но и правильно оформить документы, чтобы избежать споров и судебных разбирательств. Трудовое законодательство в данном случае выступает гарантом справедливости, балан</w:t>
      </w:r>
      <w:r>
        <w:rPr>
          <w:rFonts w:ascii="Times New Roman" w:hAnsi="Times New Roman"/>
          <w:sz w:val="28"/>
        </w:rPr>
        <w:t xml:space="preserve">сируя интересы обеих сторон трудовых отношений. </w:t>
      </w:r>
    </w:p>
    <w:p w:rsidR="00103907" w:rsidRDefault="001039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03907" w:rsidRDefault="00A90BE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новых мерах повышения эффективности </w:t>
      </w:r>
      <w:proofErr w:type="spellStart"/>
      <w:r>
        <w:rPr>
          <w:rFonts w:ascii="Times New Roman" w:hAnsi="Times New Roman"/>
          <w:b/>
          <w:sz w:val="28"/>
        </w:rPr>
        <w:t>контртеррористических</w:t>
      </w:r>
      <w:proofErr w:type="spellEnd"/>
      <w:r>
        <w:rPr>
          <w:rFonts w:ascii="Times New Roman" w:hAnsi="Times New Roman"/>
          <w:b/>
          <w:sz w:val="28"/>
        </w:rPr>
        <w:t xml:space="preserve"> операций   </w:t>
      </w:r>
    </w:p>
    <w:p w:rsidR="00103907" w:rsidRDefault="001039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Федеральным законом от 28.02.2025 № 16-ФЗ внесены изменения в статью 11 Федерального закона «О противодействии терроризму». Теперь в </w:t>
      </w:r>
      <w:r>
        <w:rPr>
          <w:rFonts w:ascii="Times New Roman" w:hAnsi="Times New Roman"/>
          <w:sz w:val="28"/>
        </w:rPr>
        <w:t xml:space="preserve">целях повышения эффективности </w:t>
      </w:r>
      <w:proofErr w:type="spellStart"/>
      <w:r>
        <w:rPr>
          <w:rFonts w:ascii="Times New Roman" w:hAnsi="Times New Roman"/>
          <w:sz w:val="28"/>
        </w:rPr>
        <w:t>контртеррористических</w:t>
      </w:r>
      <w:proofErr w:type="spellEnd"/>
      <w:r>
        <w:rPr>
          <w:rFonts w:ascii="Times New Roman" w:hAnsi="Times New Roman"/>
          <w:sz w:val="28"/>
        </w:rPr>
        <w:t xml:space="preserve"> операций на период их проведения для обеспечения мероприятий по борьбе с терроризмом допускается использование самоходных машин, принадлежащих организациям независимо от форм собственности, а в неотложных</w:t>
      </w:r>
      <w:r>
        <w:rPr>
          <w:rFonts w:ascii="Times New Roman" w:hAnsi="Times New Roman"/>
          <w:sz w:val="28"/>
        </w:rPr>
        <w:t xml:space="preserve"> случаях самоходных машин, принадлежащих физическим </w:t>
      </w:r>
      <w:r>
        <w:rPr>
          <w:rFonts w:ascii="Times New Roman" w:hAnsi="Times New Roman"/>
          <w:sz w:val="28"/>
        </w:rPr>
        <w:lastRenderedPageBreak/>
        <w:t xml:space="preserve">лицам. Порядок возмещения расходов, связанных с использованием самоходных машин в указанных целях определен постановлением Правительства Российской Федерации от 16.04.2008 № 278. </w:t>
      </w:r>
    </w:p>
    <w:p w:rsidR="00103907" w:rsidRDefault="0010390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03907" w:rsidRDefault="00A90BE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Голосовать на собраниях</w:t>
      </w:r>
      <w:r>
        <w:rPr>
          <w:rFonts w:ascii="Times New Roman" w:hAnsi="Times New Roman"/>
          <w:b/>
          <w:sz w:val="28"/>
        </w:rPr>
        <w:t xml:space="preserve"> жильцов теперь можно через ГИС ЖКХ.</w:t>
      </w:r>
    </w:p>
    <w:p w:rsidR="00103907" w:rsidRDefault="001039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Федеральным законом № 463-ФЗ от 13.12.2024 внесены изменения в Жилищный кодекс Российской Федерации и Федеральный закон «О государственной информационной системе жилищно-коммунального хозяйства», позволяющие проводить </w:t>
      </w:r>
      <w:r>
        <w:rPr>
          <w:rFonts w:ascii="Times New Roman" w:hAnsi="Times New Roman"/>
          <w:sz w:val="28"/>
        </w:rPr>
        <w:t>голосование на общих собраниях собственников жилья через портал «</w:t>
      </w:r>
      <w:proofErr w:type="spellStart"/>
      <w:r>
        <w:rPr>
          <w:rFonts w:ascii="Times New Roman" w:hAnsi="Times New Roman"/>
          <w:sz w:val="28"/>
        </w:rPr>
        <w:t>Госуслуги</w:t>
      </w:r>
      <w:proofErr w:type="spellEnd"/>
      <w:r>
        <w:rPr>
          <w:rFonts w:ascii="Times New Roman" w:hAnsi="Times New Roman"/>
          <w:sz w:val="28"/>
        </w:rPr>
        <w:t xml:space="preserve">».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Инициатором собрания может быть управляющая организация, осуществляющая управление многоквартирным домом по договору управления, собственник помещений в многоквартирном доме. Они</w:t>
      </w:r>
      <w:r>
        <w:rPr>
          <w:rFonts w:ascii="Times New Roman" w:hAnsi="Times New Roman"/>
          <w:sz w:val="28"/>
        </w:rPr>
        <w:t xml:space="preserve"> обязаны сообщить собственникам помещений в данном доме о проведении собрания не позднее чем за десять дней до даты его проведения.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проведении собрания теперь сообщается через портал ГИС ЖКХ, а также дополнительно должен быть использован еще один из вар</w:t>
      </w:r>
      <w:r>
        <w:rPr>
          <w:rFonts w:ascii="Times New Roman" w:hAnsi="Times New Roman"/>
          <w:sz w:val="28"/>
        </w:rPr>
        <w:t xml:space="preserve">иантов уведомления: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отправка каждому собственнику заказным письмом;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вручение под роспись;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размещение на досках объявлений.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Таким образом, число обязательных способов уведомления увеличилось. Когда уведомление размещено в ГИС ЖКХ, собственники при</w:t>
      </w:r>
      <w:r>
        <w:rPr>
          <w:rFonts w:ascii="Times New Roman" w:hAnsi="Times New Roman"/>
          <w:sz w:val="28"/>
        </w:rPr>
        <w:t xml:space="preserve"> входе на портал «</w:t>
      </w:r>
      <w:proofErr w:type="spellStart"/>
      <w:r>
        <w:rPr>
          <w:rFonts w:ascii="Times New Roman" w:hAnsi="Times New Roman"/>
          <w:sz w:val="28"/>
        </w:rPr>
        <w:t>Госуслуг</w:t>
      </w:r>
      <w:proofErr w:type="spellEnd"/>
      <w:r>
        <w:rPr>
          <w:rFonts w:ascii="Times New Roman" w:hAnsi="Times New Roman"/>
          <w:sz w:val="28"/>
        </w:rPr>
        <w:t>» автоматически получают уведомление о том, что в их доме состоится собрание, а также могут ознакомиться с его повесткой. Информация считается полученной в момент входа в личный кабинет. Далее, в установленный срок жильцы голосуют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онлайн</w:t>
      </w:r>
      <w:proofErr w:type="spellEnd"/>
      <w:r>
        <w:rPr>
          <w:rFonts w:ascii="Times New Roman" w:hAnsi="Times New Roman"/>
          <w:sz w:val="28"/>
        </w:rPr>
        <w:t xml:space="preserve"> по вынесенным на повестку дня вопросам и после окончания голосования формируется итоговый протокол, который также размещается на портале.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Данные изменения позволят повысить собираемость голосов, исключить подделку подписей, а тем самым обеспечить </w:t>
      </w:r>
      <w:r>
        <w:rPr>
          <w:rFonts w:ascii="Times New Roman" w:hAnsi="Times New Roman"/>
          <w:sz w:val="28"/>
        </w:rPr>
        <w:t xml:space="preserve">наличие кворума и легитимность принятого решения. </w:t>
      </w:r>
    </w:p>
    <w:p w:rsidR="00103907" w:rsidRDefault="001039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03907" w:rsidRDefault="00A90BE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Мошенники выдают себя за службы доставки.   </w:t>
      </w:r>
    </w:p>
    <w:p w:rsidR="00103907" w:rsidRDefault="001039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Новая схема мошенничества: поддельные уведомления от служб доставки. Злоумышленники начали притворяться популярными сервисами доставки, чтобы получить доступ </w:t>
      </w:r>
      <w:r>
        <w:rPr>
          <w:rFonts w:ascii="Times New Roman" w:hAnsi="Times New Roman"/>
          <w:sz w:val="28"/>
        </w:rPr>
        <w:t xml:space="preserve">к вашим личным данным и украсть деньги со счетов.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Сначала вы получаете ложное сообщение о том, что ваш заказ готов к отправке, хотя вы ничего не заказывали. В последующем приходит </w:t>
      </w:r>
      <w:proofErr w:type="spellStart"/>
      <w:r>
        <w:rPr>
          <w:rFonts w:ascii="Times New Roman" w:hAnsi="Times New Roman"/>
          <w:sz w:val="28"/>
        </w:rPr>
        <w:t>смс-сообщение</w:t>
      </w:r>
      <w:proofErr w:type="spellEnd"/>
      <w:r>
        <w:rPr>
          <w:rFonts w:ascii="Times New Roman" w:hAnsi="Times New Roman"/>
          <w:sz w:val="28"/>
        </w:rPr>
        <w:t xml:space="preserve"> с предложением отследить посылку, чтобы узнать детали отправл</w:t>
      </w:r>
      <w:r>
        <w:rPr>
          <w:rFonts w:ascii="Times New Roman" w:hAnsi="Times New Roman"/>
          <w:sz w:val="28"/>
        </w:rPr>
        <w:t xml:space="preserve">ения. В данном сообщении находится ссылка на интернет-ресурс. Не спешите переходить по ссылке из сообщения, поскольку ссылка ведет на </w:t>
      </w:r>
      <w:proofErr w:type="spellStart"/>
      <w:r>
        <w:rPr>
          <w:rFonts w:ascii="Times New Roman" w:hAnsi="Times New Roman"/>
          <w:sz w:val="28"/>
        </w:rPr>
        <w:lastRenderedPageBreak/>
        <w:t>фишинговый</w:t>
      </w:r>
      <w:proofErr w:type="spellEnd"/>
      <w:r>
        <w:rPr>
          <w:rFonts w:ascii="Times New Roman" w:hAnsi="Times New Roman"/>
          <w:sz w:val="28"/>
        </w:rPr>
        <w:t xml:space="preserve"> сайт, который очень похож на официальный сайт служб доставки (СДЭК, </w:t>
      </w:r>
      <w:proofErr w:type="spellStart"/>
      <w:r>
        <w:rPr>
          <w:rFonts w:ascii="Times New Roman" w:hAnsi="Times New Roman"/>
          <w:sz w:val="28"/>
        </w:rPr>
        <w:t>Яндекс</w:t>
      </w:r>
      <w:proofErr w:type="spellEnd"/>
      <w:r>
        <w:rPr>
          <w:rFonts w:ascii="Times New Roman" w:hAnsi="Times New Roman"/>
          <w:sz w:val="28"/>
        </w:rPr>
        <w:t xml:space="preserve"> Доставка, </w:t>
      </w:r>
      <w:proofErr w:type="spellStart"/>
      <w:r>
        <w:rPr>
          <w:rFonts w:ascii="Times New Roman" w:hAnsi="Times New Roman"/>
          <w:sz w:val="28"/>
        </w:rPr>
        <w:t>СберМаркет</w:t>
      </w:r>
      <w:proofErr w:type="spellEnd"/>
      <w:r>
        <w:rPr>
          <w:rFonts w:ascii="Times New Roman" w:hAnsi="Times New Roman"/>
          <w:sz w:val="28"/>
        </w:rPr>
        <w:t xml:space="preserve"> и др.). Однако,</w:t>
      </w:r>
      <w:r>
        <w:rPr>
          <w:rFonts w:ascii="Times New Roman" w:hAnsi="Times New Roman"/>
          <w:sz w:val="28"/>
        </w:rPr>
        <w:t xml:space="preserve"> если вы перейдете по ссылке, вас обяжут ввести номер банковской карты, паспортные данные либо логин и пароль банковского приложения. Получив такие данные, мошенники списывают все ваши деньги со счета на банковские счета </w:t>
      </w:r>
      <w:proofErr w:type="spellStart"/>
      <w:r>
        <w:rPr>
          <w:rFonts w:ascii="Times New Roman" w:hAnsi="Times New Roman"/>
          <w:sz w:val="28"/>
        </w:rPr>
        <w:t>дропперов</w:t>
      </w:r>
      <w:proofErr w:type="spellEnd"/>
      <w:r>
        <w:rPr>
          <w:rFonts w:ascii="Times New Roman" w:hAnsi="Times New Roman"/>
          <w:sz w:val="28"/>
        </w:rPr>
        <w:t xml:space="preserve">.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переходите по подозр</w:t>
      </w:r>
      <w:r>
        <w:rPr>
          <w:rFonts w:ascii="Times New Roman" w:hAnsi="Times New Roman"/>
          <w:sz w:val="28"/>
        </w:rPr>
        <w:t xml:space="preserve">ительным ссылкам из сообщений, особенно если вы не ожидаете доставок. Проверяйте отправителя сообщений, убедитесь, что сообщение пришло с официального номера или </w:t>
      </w:r>
      <w:proofErr w:type="spellStart"/>
      <w:r>
        <w:rPr>
          <w:rFonts w:ascii="Times New Roman" w:hAnsi="Times New Roman"/>
          <w:sz w:val="28"/>
        </w:rPr>
        <w:t>аккаунта</w:t>
      </w:r>
      <w:proofErr w:type="spellEnd"/>
      <w:r>
        <w:rPr>
          <w:rFonts w:ascii="Times New Roman" w:hAnsi="Times New Roman"/>
          <w:sz w:val="28"/>
        </w:rPr>
        <w:t xml:space="preserve"> службы доставки. Не вводите личные данные на сайтах, перешедших по ссылкам из сообщен</w:t>
      </w:r>
      <w:r>
        <w:rPr>
          <w:rFonts w:ascii="Times New Roman" w:hAnsi="Times New Roman"/>
          <w:sz w:val="28"/>
        </w:rPr>
        <w:t xml:space="preserve">ий. Если у вас есть сомнения, позвоните в службу поддержки официального сервиса доставки либо воспользуйтесь личным кабинетом в официальном приложении или на сайте службы доставки.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условиях роста подобных преступлений в отношении граждан будьте бдительн</w:t>
      </w:r>
      <w:r>
        <w:rPr>
          <w:rFonts w:ascii="Times New Roman" w:hAnsi="Times New Roman"/>
          <w:sz w:val="28"/>
        </w:rPr>
        <w:t xml:space="preserve">ы и предупреждайте своих близких о новых видах мошенничества! </w:t>
      </w:r>
    </w:p>
    <w:p w:rsidR="00103907" w:rsidRDefault="0010390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103907" w:rsidRDefault="00A90BE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Административная ответственность за продажу несовершеннолетним зажигалок. </w:t>
      </w:r>
    </w:p>
    <w:p w:rsidR="00103907" w:rsidRDefault="001039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01.03.2025 запрещается продавать несовершеннолетним «товары для личных и бытовых нужд, содержащие сжиженные углево</w:t>
      </w:r>
      <w:r>
        <w:rPr>
          <w:rFonts w:ascii="Times New Roman" w:hAnsi="Times New Roman"/>
          <w:sz w:val="28"/>
        </w:rPr>
        <w:t xml:space="preserve">дородные газы», то есть бытовые зажигалки и другие подобные товары, содержащие сжиженный газ (газовые баллоны и т.п.).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Продавать такие товары будет запрещено в </w:t>
      </w:r>
      <w:proofErr w:type="spellStart"/>
      <w:r>
        <w:rPr>
          <w:rFonts w:ascii="Times New Roman" w:hAnsi="Times New Roman"/>
          <w:sz w:val="28"/>
        </w:rPr>
        <w:t>офлайн-рознице</w:t>
      </w:r>
      <w:proofErr w:type="spellEnd"/>
      <w:r>
        <w:rPr>
          <w:rFonts w:ascii="Times New Roman" w:hAnsi="Times New Roman"/>
          <w:sz w:val="28"/>
        </w:rPr>
        <w:t xml:space="preserve"> и удаленной продаже. Если у продавца возникнут сомнения относительно возраста по</w:t>
      </w:r>
      <w:r>
        <w:rPr>
          <w:rFonts w:ascii="Times New Roman" w:hAnsi="Times New Roman"/>
          <w:sz w:val="28"/>
        </w:rPr>
        <w:t xml:space="preserve">купателя, он обязан потребовать у него документ, удостоверяющий личность. В противном случае продавец обязан отказать в продаже.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01.09.2025 за реализацию несовершеннолетнему опасных бытовых товаров с газом предусмотрена административная ответственность.</w:t>
      </w:r>
      <w:r>
        <w:rPr>
          <w:rFonts w:ascii="Times New Roman" w:hAnsi="Times New Roman"/>
          <w:sz w:val="28"/>
        </w:rPr>
        <w:t xml:space="preserve"> Штраф для должностных лиц составит от 150 000 рублей до 300 000 рублей. Штраф для юридических лиц составит от 400 000 рублей до 600 000 рублей. </w:t>
      </w:r>
    </w:p>
    <w:p w:rsidR="00103907" w:rsidRDefault="0010390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03907" w:rsidRDefault="00A90BE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Перевозчик обязан предоставить ребенку в возрасте до двенадцати лет и сопровождающему его пассажиру соседние </w:t>
      </w:r>
      <w:r>
        <w:rPr>
          <w:rFonts w:ascii="Times New Roman" w:hAnsi="Times New Roman"/>
          <w:b/>
          <w:sz w:val="28"/>
        </w:rPr>
        <w:t xml:space="preserve">пассажирские места на борту воздушного судна в одном ряду, не разделенные проходом, без взимания дополнительной платы </w:t>
      </w:r>
    </w:p>
    <w:p w:rsidR="00103907" w:rsidRDefault="001039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21.01.2025 вступил в силу приказ Минтранса России от 25.12.2024 </w:t>
      </w:r>
      <w:r>
        <w:br/>
      </w:r>
      <w:r>
        <w:rPr>
          <w:rFonts w:ascii="Times New Roman" w:hAnsi="Times New Roman"/>
          <w:sz w:val="28"/>
        </w:rPr>
        <w:t>№ 462 «О внесении изменений в Федеральные авиационные правила «Общие правила воздушных перевозок пассажиров, багажа, грузов и требования к обслуживанию пассажиров, грузоотправителей, грузополучателей», утвержденные приказом Министерства транспорта Российск</w:t>
      </w:r>
      <w:r>
        <w:rPr>
          <w:rFonts w:ascii="Times New Roman" w:hAnsi="Times New Roman"/>
          <w:sz w:val="28"/>
        </w:rPr>
        <w:t xml:space="preserve">ой Федерации от 28.06.2007 № 82, согласно которому перевозчик обязан предоставить ребенку в возрасте до двенадцати лет и сопровождающему его пассажиру соседние </w:t>
      </w:r>
      <w:r>
        <w:rPr>
          <w:rFonts w:ascii="Times New Roman" w:hAnsi="Times New Roman"/>
          <w:sz w:val="28"/>
        </w:rPr>
        <w:lastRenderedPageBreak/>
        <w:t>пассажирские места на борту воздушного судна в одном ряду, не разделенные проходом, без взимания</w:t>
      </w:r>
      <w:r>
        <w:rPr>
          <w:rFonts w:ascii="Times New Roman" w:hAnsi="Times New Roman"/>
          <w:sz w:val="28"/>
        </w:rPr>
        <w:t xml:space="preserve"> дополнительной платы . Также установлено, что дополнительная плата за выбор и предоставление при регистрации пассажирам соседних пассажирских мест в соответствии с классом обслуживания на борту воздушного судна и с соблюдением требований безопасности поле</w:t>
      </w:r>
      <w:r>
        <w:rPr>
          <w:rFonts w:ascii="Times New Roman" w:hAnsi="Times New Roman"/>
          <w:sz w:val="28"/>
        </w:rPr>
        <w:t xml:space="preserve">тов не взимается. </w:t>
      </w:r>
    </w:p>
    <w:p w:rsidR="00103907" w:rsidRDefault="001039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03907" w:rsidRDefault="00A90BE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Трудовые гарантии супругам погибших ветеранов боевых действий </w:t>
      </w:r>
    </w:p>
    <w:p w:rsidR="00103907" w:rsidRDefault="001039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Трудовой кодекс Российской Федерации дополнен статьей 264.1, предусматривающей гарантии супруге (супругу) погибшего ветерана боевых действий.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Теперь работодатель не сможет</w:t>
      </w:r>
      <w:r>
        <w:rPr>
          <w:rFonts w:ascii="Times New Roman" w:hAnsi="Times New Roman"/>
          <w:sz w:val="28"/>
        </w:rPr>
        <w:t xml:space="preserve"> уволить по своей инициативе супругу (супруга) погибшего ветерана боевых действий в течение одного года </w:t>
      </w:r>
      <w:r>
        <w:br/>
      </w:r>
      <w:r>
        <w:rPr>
          <w:rFonts w:ascii="Times New Roman" w:hAnsi="Times New Roman"/>
          <w:sz w:val="28"/>
        </w:rPr>
        <w:t xml:space="preserve">с момента гибели при условии, если не заключен повторный брак.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Исключением является увольнение в связи с ликвидацией организации либо прекращением дея</w:t>
      </w:r>
      <w:r>
        <w:rPr>
          <w:rFonts w:ascii="Times New Roman" w:hAnsi="Times New Roman"/>
          <w:sz w:val="28"/>
        </w:rPr>
        <w:t>тельности индивидуальным предпринимателем, а также допущенные работником нарушения трудовой дисциплины (однократное грубое нарушение трудовых обязанностей; совершение виновных действий, дающих основание для утраты доверия; совершение аморального проступка;</w:t>
      </w:r>
      <w:r>
        <w:rPr>
          <w:rFonts w:ascii="Times New Roman" w:hAnsi="Times New Roman"/>
          <w:sz w:val="28"/>
        </w:rPr>
        <w:t xml:space="preserve"> представление подложных документов при заключении трудового договора и др.).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Установление меры поддержки в виде запрета на увольнение в течении года позволит поддержать семьи ветеранов боевых действий, гарантируя обеспечение семьи заработком в момент труд</w:t>
      </w:r>
      <w:r>
        <w:rPr>
          <w:rFonts w:ascii="Times New Roman" w:hAnsi="Times New Roman"/>
          <w:sz w:val="28"/>
        </w:rPr>
        <w:t xml:space="preserve">ной жизненной ситуации. </w:t>
      </w:r>
    </w:p>
    <w:p w:rsidR="00103907" w:rsidRDefault="001039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03907" w:rsidRDefault="00A90BE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создании государственной информационной системы противодействия правонарушениям, совершаемым с использованием информационных и коммуникационных технологий </w:t>
      </w:r>
    </w:p>
    <w:p w:rsidR="00103907" w:rsidRDefault="001039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01.04.2025 принят Федеральный закон № 41-ФЗ «О создании государственн</w:t>
      </w:r>
      <w:r>
        <w:rPr>
          <w:rFonts w:ascii="Times New Roman" w:hAnsi="Times New Roman"/>
          <w:sz w:val="28"/>
        </w:rPr>
        <w:t>ой информационной системы противодействия правонарушениям, совершаемым с использованием информационных и коммуникационных технологий, и о внесении изменений в отдельные законодательные акты Российской Федерации» (далее – Федеральный закон № 41-ФЗ), положен</w:t>
      </w:r>
      <w:r>
        <w:rPr>
          <w:rFonts w:ascii="Times New Roman" w:hAnsi="Times New Roman"/>
          <w:sz w:val="28"/>
        </w:rPr>
        <w:t xml:space="preserve">ие которого вступают в силу в несколько этапов.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Рассказываем, что изменится и почему это так важно. Никаких звонков от банков в </w:t>
      </w:r>
      <w:proofErr w:type="spellStart"/>
      <w:r>
        <w:rPr>
          <w:rFonts w:ascii="Times New Roman" w:hAnsi="Times New Roman"/>
          <w:sz w:val="28"/>
        </w:rPr>
        <w:t>мессенджерах</w:t>
      </w:r>
      <w:proofErr w:type="spellEnd"/>
      <w:r>
        <w:rPr>
          <w:rFonts w:ascii="Times New Roman" w:hAnsi="Times New Roman"/>
          <w:sz w:val="28"/>
        </w:rPr>
        <w:t xml:space="preserve">. С 01.06.2025 вступают в силу положения ч. 1 ст. 15 Федерального закона № 41-ФЗ в </w:t>
      </w:r>
      <w:proofErr w:type="spellStart"/>
      <w:r>
        <w:rPr>
          <w:rFonts w:ascii="Times New Roman" w:hAnsi="Times New Roman"/>
          <w:sz w:val="28"/>
        </w:rPr>
        <w:t>соотвествии</w:t>
      </w:r>
      <w:proofErr w:type="spellEnd"/>
      <w:r>
        <w:rPr>
          <w:rFonts w:ascii="Times New Roman" w:hAnsi="Times New Roman"/>
          <w:sz w:val="28"/>
        </w:rPr>
        <w:t xml:space="preserve"> с которой сотрудника</w:t>
      </w:r>
      <w:r>
        <w:rPr>
          <w:rFonts w:ascii="Times New Roman" w:hAnsi="Times New Roman"/>
          <w:sz w:val="28"/>
        </w:rPr>
        <w:t xml:space="preserve">ми госучреждений, банков и операторов сотовой связи запретили использовать иностранные </w:t>
      </w:r>
      <w:proofErr w:type="spellStart"/>
      <w:r>
        <w:rPr>
          <w:rFonts w:ascii="Times New Roman" w:hAnsi="Times New Roman"/>
          <w:sz w:val="28"/>
        </w:rPr>
        <w:t>мессенджеры</w:t>
      </w:r>
      <w:proofErr w:type="spellEnd"/>
      <w:r>
        <w:rPr>
          <w:rFonts w:ascii="Times New Roman" w:hAnsi="Times New Roman"/>
          <w:sz w:val="28"/>
        </w:rPr>
        <w:t xml:space="preserve"> для звонков и сообщений клиентам. Можно быть абсолютно уверенным, что тот, кто звонит вам таким образом с «выгодным предложением по кредиту» или «важной инфо</w:t>
      </w:r>
      <w:r>
        <w:rPr>
          <w:rFonts w:ascii="Times New Roman" w:hAnsi="Times New Roman"/>
          <w:sz w:val="28"/>
        </w:rPr>
        <w:t xml:space="preserve">рмацией от Социального фонда», - мошенник.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Маркировка звонков и ограничение спама. Пунктом 1.1 статьи 44.1 Федерального закона от 07.07.2003 № 126-ФЗ «О связи» (далее – Федеральный закон «О связи») с 01.08.2025 определена возможность отказаться от анонимн</w:t>
      </w:r>
      <w:r>
        <w:rPr>
          <w:rFonts w:ascii="Times New Roman" w:hAnsi="Times New Roman"/>
          <w:sz w:val="28"/>
        </w:rPr>
        <w:t xml:space="preserve">ых рекламных </w:t>
      </w:r>
      <w:proofErr w:type="spellStart"/>
      <w:r>
        <w:rPr>
          <w:rFonts w:ascii="Times New Roman" w:hAnsi="Times New Roman"/>
          <w:sz w:val="28"/>
        </w:rPr>
        <w:t>обзвонов</w:t>
      </w:r>
      <w:proofErr w:type="spellEnd"/>
      <w:r>
        <w:rPr>
          <w:rFonts w:ascii="Times New Roman" w:hAnsi="Times New Roman"/>
          <w:sz w:val="28"/>
        </w:rPr>
        <w:t xml:space="preserve">. А еще при входящем звонке на экране телефона будет отображаться, какая организация звонит, например банк или служба доставки. Так можно будет отличить полезные звонки от подозрительных звонков.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Защита от взлома </w:t>
      </w:r>
      <w:proofErr w:type="spellStart"/>
      <w:r>
        <w:rPr>
          <w:rFonts w:ascii="Times New Roman" w:hAnsi="Times New Roman"/>
          <w:sz w:val="28"/>
        </w:rPr>
        <w:t>аккаунта</w:t>
      </w:r>
      <w:proofErr w:type="spellEnd"/>
      <w:r>
        <w:rPr>
          <w:rFonts w:ascii="Times New Roman" w:hAnsi="Times New Roman"/>
          <w:sz w:val="28"/>
        </w:rPr>
        <w:t>. С 01.09.202</w:t>
      </w:r>
      <w:r>
        <w:rPr>
          <w:rFonts w:ascii="Times New Roman" w:hAnsi="Times New Roman"/>
          <w:sz w:val="28"/>
        </w:rPr>
        <w:t xml:space="preserve">5 также вступает ряд изменений. Больше никакого «назовите код из </w:t>
      </w:r>
      <w:proofErr w:type="spellStart"/>
      <w:r>
        <w:rPr>
          <w:rFonts w:ascii="Times New Roman" w:hAnsi="Times New Roman"/>
          <w:sz w:val="28"/>
        </w:rPr>
        <w:t>смс</w:t>
      </w:r>
      <w:proofErr w:type="spellEnd"/>
      <w:r>
        <w:rPr>
          <w:rFonts w:ascii="Times New Roman" w:hAnsi="Times New Roman"/>
          <w:sz w:val="28"/>
        </w:rPr>
        <w:t xml:space="preserve">». </w:t>
      </w:r>
      <w:proofErr w:type="spellStart"/>
      <w:r>
        <w:rPr>
          <w:rFonts w:ascii="Times New Roman" w:hAnsi="Times New Roman"/>
          <w:sz w:val="28"/>
        </w:rPr>
        <w:t>Госуслуги</w:t>
      </w:r>
      <w:proofErr w:type="spellEnd"/>
      <w:r>
        <w:rPr>
          <w:rFonts w:ascii="Times New Roman" w:hAnsi="Times New Roman"/>
          <w:sz w:val="28"/>
        </w:rPr>
        <w:t xml:space="preserve"> не будут отправлять сообщения для входа в </w:t>
      </w:r>
      <w:proofErr w:type="spellStart"/>
      <w:r>
        <w:rPr>
          <w:rFonts w:ascii="Times New Roman" w:hAnsi="Times New Roman"/>
          <w:sz w:val="28"/>
        </w:rPr>
        <w:t>аккаунт</w:t>
      </w:r>
      <w:proofErr w:type="spellEnd"/>
      <w:r>
        <w:rPr>
          <w:rFonts w:ascii="Times New Roman" w:hAnsi="Times New Roman"/>
          <w:sz w:val="28"/>
        </w:rPr>
        <w:t xml:space="preserve"> во время телефонного разговора. Код придет только после завершения звонка, когда злоумышленники больше не смогут удерживать в</w:t>
      </w:r>
      <w:r>
        <w:rPr>
          <w:rFonts w:ascii="Times New Roman" w:hAnsi="Times New Roman"/>
          <w:sz w:val="28"/>
        </w:rPr>
        <w:t xml:space="preserve">аше внимание (п. 14 ст. 46 Федерального закона «О связи»).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Сим-карты только для близких. Еще одна мера борьбы с теми, кто оформляет десятки номеров на других людей. Пользоваться сим-картой сможет только владелец, а передавать ее можно будет только близким</w:t>
      </w:r>
      <w:r>
        <w:rPr>
          <w:rFonts w:ascii="Times New Roman" w:hAnsi="Times New Roman"/>
          <w:sz w:val="28"/>
        </w:rPr>
        <w:t xml:space="preserve"> родственникам – супругам, детям, родителям, дедушкам, бабушкам, внукам, братьям и сестрам. Так у телефонных мошенников не будет шансов воспользоваться вашим номером (п. 9 ст. 45 Федерального закона «О связи»).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Доверенные лица для банковских операций. Эта</w:t>
      </w:r>
      <w:r>
        <w:rPr>
          <w:rFonts w:ascii="Times New Roman" w:hAnsi="Times New Roman"/>
          <w:sz w:val="28"/>
        </w:rPr>
        <w:t xml:space="preserve"> функция поможет защитить пожилых родственников, которые не всегда могут распознать обман и вовремя обратиться за помощью. Можно будет назначить доверенное лицо, у которого банк будет дополнительно подтверждать финансовые операции. Например, при переводе д</w:t>
      </w:r>
      <w:r>
        <w:rPr>
          <w:rFonts w:ascii="Times New Roman" w:hAnsi="Times New Roman"/>
          <w:sz w:val="28"/>
        </w:rPr>
        <w:t xml:space="preserve">енег на чужой счет. Доверенное лицо будет назначать сам гражданин (ч. 12 ст. 30 Федерального закона от 02.12.1990 № 395-1 «О банках и банковской деятельности»).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Обязательное определение </w:t>
      </w:r>
      <w:proofErr w:type="spellStart"/>
      <w:r>
        <w:rPr>
          <w:rFonts w:ascii="Times New Roman" w:hAnsi="Times New Roman"/>
          <w:sz w:val="28"/>
        </w:rPr>
        <w:t>бизнес-номеров</w:t>
      </w:r>
      <w:proofErr w:type="spellEnd"/>
      <w:r>
        <w:rPr>
          <w:rFonts w:ascii="Times New Roman" w:hAnsi="Times New Roman"/>
          <w:sz w:val="28"/>
        </w:rPr>
        <w:t>. Если инициатор любого телефонного вызова – компания и</w:t>
      </w:r>
      <w:r>
        <w:rPr>
          <w:rFonts w:ascii="Times New Roman" w:hAnsi="Times New Roman"/>
          <w:sz w:val="28"/>
        </w:rPr>
        <w:t xml:space="preserve">ли индивидуальный предприниматель, то оператор передаст на устройство пользователя данные о том, кто звонит. Речь идет об операторе, в сети связи которого начинается вызов (п. 9.1 ст. 46 Федерального закона «О связи»).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Снятие денег через банкоматы. Кредит</w:t>
      </w:r>
      <w:r>
        <w:rPr>
          <w:rFonts w:ascii="Times New Roman" w:hAnsi="Times New Roman"/>
          <w:sz w:val="28"/>
        </w:rPr>
        <w:t xml:space="preserve">ные организации станут выявлять признаки выдачи денег через банкоматы без добровольного согласия клиента. Если </w:t>
      </w:r>
      <w:proofErr w:type="spellStart"/>
      <w:r>
        <w:rPr>
          <w:rFonts w:ascii="Times New Roman" w:hAnsi="Times New Roman"/>
          <w:sz w:val="28"/>
        </w:rPr>
        <w:t>финкомпания</w:t>
      </w:r>
      <w:proofErr w:type="spellEnd"/>
      <w:r>
        <w:rPr>
          <w:rFonts w:ascii="Times New Roman" w:hAnsi="Times New Roman"/>
          <w:sz w:val="28"/>
        </w:rPr>
        <w:t xml:space="preserve"> обнаружит соответствующий индикатор, то разрешит снимать не более 50 тыс. руб. в сутки и сразу уведомит клиента о причинах ограничени</w:t>
      </w:r>
      <w:r>
        <w:rPr>
          <w:rFonts w:ascii="Times New Roman" w:hAnsi="Times New Roman"/>
          <w:sz w:val="28"/>
        </w:rPr>
        <w:t xml:space="preserve">й. Оно будет действовать в течении 48 ч. С момента направления запроса о выдаче денег (ст. 24.3-1 Федерального закона от 02.12.1990 № 395-1 «О банках и банковской деятельности»). </w:t>
      </w:r>
    </w:p>
    <w:p w:rsidR="00103907" w:rsidRDefault="001039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03907" w:rsidRDefault="00A90BED" w:rsidP="00A90BE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Обновлены правила предоставления отпусков лицам, усыновившим ребенка</w:t>
      </w:r>
    </w:p>
    <w:p w:rsidR="00103907" w:rsidRDefault="001039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1 </w:t>
      </w:r>
      <w:r>
        <w:rPr>
          <w:rFonts w:ascii="Times New Roman" w:hAnsi="Times New Roman"/>
          <w:sz w:val="28"/>
        </w:rPr>
        <w:t xml:space="preserve">сентября 2025 года будут применяться обновленные правила предоставления отпусков работникам, усыновившими ребенка, </w:t>
      </w:r>
      <w:r>
        <w:rPr>
          <w:rFonts w:ascii="Times New Roman" w:hAnsi="Times New Roman"/>
          <w:sz w:val="28"/>
        </w:rPr>
        <w:lastRenderedPageBreak/>
        <w:t xml:space="preserve">установленные постановлением Правительства Российской Федерации от 24.03.2025 № 351.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Работникам, усыновившими ребенка, предоставляются отпус</w:t>
      </w:r>
      <w:r>
        <w:rPr>
          <w:rFonts w:ascii="Times New Roman" w:hAnsi="Times New Roman"/>
          <w:sz w:val="28"/>
        </w:rPr>
        <w:t xml:space="preserve">ка по уходу за ребенком: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на период до усыновления со дня усыновления ребенка и до истечения 70 календарных дней со дня рождения ребенка, а при одновременном усыновлении 2 и более детей - 110 календарных дней со дня их рождения;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до достижения ребенком возраста 3 лет.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Усыновителям также назначается и выплачивается пособие в порядке и размере, которые установлены для выплаты пособия по беременности и родам.  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Указанные правила вступают в силу с 01.09.2025 и действуют до 01.09.20</w:t>
      </w:r>
      <w:r>
        <w:rPr>
          <w:rFonts w:ascii="Times New Roman" w:hAnsi="Times New Roman"/>
          <w:sz w:val="28"/>
        </w:rPr>
        <w:t xml:space="preserve">31 </w:t>
      </w:r>
    </w:p>
    <w:p w:rsidR="00103907" w:rsidRDefault="001039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03907" w:rsidRDefault="00A90BE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Установлена возможность привлечения к работе лиц в возрасте от 14 до 18 лет в выходные и нерабочие праздничные дни в период летних каникул</w:t>
      </w:r>
    </w:p>
    <w:p w:rsidR="00103907" w:rsidRDefault="001039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 законом от 07.04.2025 № 63-ФЗ внесены изменения в статью 268 Трудового кодекса Российской Федерации</w:t>
      </w:r>
      <w:r>
        <w:rPr>
          <w:rFonts w:ascii="Times New Roman" w:hAnsi="Times New Roman"/>
          <w:sz w:val="28"/>
        </w:rPr>
        <w:t>, в соответствии с которыми работодатели вправе привлекать лиц в возрасте от 14 до 18 лет к работе в выходные и нерабочие праздничные дни в период летних каникул по направлению органов службы занятости населения или в составе студенческих отрядов, включенн</w:t>
      </w:r>
      <w:r>
        <w:rPr>
          <w:rFonts w:ascii="Times New Roman" w:hAnsi="Times New Roman"/>
          <w:sz w:val="28"/>
        </w:rPr>
        <w:t xml:space="preserve">ых в реестр молодежных и детских объединений, пользующихся господдержкой.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этого необходимо получить письменное согласие: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работника (если он достиг возраста 18 лет);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работника и одного из его родителей (если достиг возраста 15 лет);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работника </w:t>
      </w:r>
      <w:r>
        <w:rPr>
          <w:rFonts w:ascii="Times New Roman" w:hAnsi="Times New Roman"/>
          <w:sz w:val="28"/>
        </w:rPr>
        <w:t xml:space="preserve">и органа опеки и попечительства или иного законного представителя несовершеннолетнего, указанного в части 4 статьи 63 Трудового кодекса Российской Федерации.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Изменения вступают в силу с 01.09.2025. </w:t>
      </w:r>
    </w:p>
    <w:p w:rsidR="00103907" w:rsidRDefault="001039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03907" w:rsidRDefault="00A90BE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Дополнен перечень категорий граждан, имеющих право на п</w:t>
      </w:r>
      <w:r>
        <w:rPr>
          <w:rFonts w:ascii="Times New Roman" w:hAnsi="Times New Roman"/>
          <w:b/>
          <w:sz w:val="28"/>
        </w:rPr>
        <w:t xml:space="preserve">олучение бесплатной юридической помощи </w:t>
      </w:r>
    </w:p>
    <w:p w:rsidR="00103907" w:rsidRDefault="001039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Закреплено право на получение бесплатной юридической помощи многодетными родителями, имеющими трех и более детей, до достижения старшим ребенком возраста восемнадцати лет или возраста двадцати трех лет при условии е</w:t>
      </w:r>
      <w:r>
        <w:rPr>
          <w:rFonts w:ascii="Times New Roman" w:hAnsi="Times New Roman"/>
          <w:sz w:val="28"/>
        </w:rPr>
        <w:t xml:space="preserve">го обучения в организации, осуществляющей образовательную деятельность, по очной форме обучения.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на бесплатную юридическую помощь вправе рассчитывать лица, являющиеся истцами при рассмотрении судами дел об установлении и оспаривании отцовства (матер</w:t>
      </w:r>
      <w:r>
        <w:rPr>
          <w:rFonts w:ascii="Times New Roman" w:hAnsi="Times New Roman"/>
          <w:sz w:val="28"/>
        </w:rPr>
        <w:t xml:space="preserve">инства). </w:t>
      </w:r>
    </w:p>
    <w:p w:rsidR="00A90BED" w:rsidRDefault="00A90BE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Какие отгулы надо предоставлять по новым правилам</w:t>
      </w:r>
    </w:p>
    <w:p w:rsidR="00103907" w:rsidRDefault="00A90BE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01.03.2025 действует новая редакция статьи 153 ТК РФ. Она ограничивает срок, в течение которого работник может взять дополнительный день отдыха, одним годом со дня выхода на работу в выходной </w:t>
      </w:r>
      <w:r>
        <w:rPr>
          <w:rFonts w:ascii="Times New Roman" w:hAnsi="Times New Roman"/>
          <w:sz w:val="28"/>
        </w:rPr>
        <w:t xml:space="preserve">или праздник (Федеральный закон от 30.09.24 № 339-ФЗ).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Как известно, по желанию сотрудника, работавшего в выходной или нерабочий праздничный день, ему может быть предоставлен другой день отдыха. В этом случае работа в выходной или праздник оплачивается в </w:t>
      </w:r>
      <w:r>
        <w:rPr>
          <w:rFonts w:ascii="Times New Roman" w:hAnsi="Times New Roman"/>
          <w:sz w:val="28"/>
        </w:rPr>
        <w:t xml:space="preserve">одинарном размере, а день отдыха не оплачивается (ч. 4 ст. 153 ТК РФ). Ранее законодательство не ограничивало срок, в течение которого работник мог использовать отгулы за работы в выходные.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Однако с 01.03.2025 действует новая редакция статьи 153 ТК РФ. Эт</w:t>
      </w:r>
      <w:r>
        <w:rPr>
          <w:rFonts w:ascii="Times New Roman" w:hAnsi="Times New Roman"/>
          <w:sz w:val="28"/>
        </w:rPr>
        <w:t>а норма позволяет работнику взять дополнительный день отдыха только в течение года со дня выхода на работу в выходной или праздник. По желанию сотрудника день отдыха можно присоединить к отпуску, предоставляемому в этот же период. Если в течение года отгул</w:t>
      </w:r>
      <w:r>
        <w:rPr>
          <w:rFonts w:ascii="Times New Roman" w:hAnsi="Times New Roman"/>
          <w:sz w:val="28"/>
        </w:rPr>
        <w:t xml:space="preserve"> так и не был использован, то взять его как выходной день уже не получится.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Вместе с тем, такой отгул не «сгорает». Все неиспользованные дни отдыха работодатель обязан компенсировать при увольнении работника. Размер компенсации – разница между перечисленн</w:t>
      </w:r>
      <w:r>
        <w:rPr>
          <w:rFonts w:ascii="Times New Roman" w:hAnsi="Times New Roman"/>
          <w:sz w:val="28"/>
        </w:rPr>
        <w:t xml:space="preserve">ой ранее оплатой в одинарном размере и повышенной оплатой, которая полагается за работу в выходной.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Изменения, внесенные в статью 153 ТК РФ, касаются только тех отгулов, право на которые появились у работника после 01.03.2025 (ч. 3 ст. 12 ТК РФ). </w:t>
      </w:r>
    </w:p>
    <w:p w:rsidR="00103907" w:rsidRDefault="001039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03907" w:rsidRDefault="00A90BE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Лица, вовлекаемые в процесс дачи взятки, выступают в качестве субъекта незаконного воздействия, а потому могут считаться потерпевшими по уголовным делам, при условии что их действия не образуют состава коррупционного преступления </w:t>
      </w:r>
    </w:p>
    <w:p w:rsidR="00103907" w:rsidRDefault="001039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Высшая судебная инстанци</w:t>
      </w:r>
      <w:r>
        <w:rPr>
          <w:rFonts w:ascii="Times New Roman" w:hAnsi="Times New Roman"/>
          <w:sz w:val="28"/>
        </w:rPr>
        <w:t xml:space="preserve">я подтвердила дополнительные правовые гарантии для лиц, сотрудничающих с правоохранительными органами в изобличении фактов взяточничества.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Постановлению Конституционного Суда Российской Федерации от 01.10.2024 № 42-П «По делу о проверке конституц</w:t>
      </w:r>
      <w:r>
        <w:rPr>
          <w:rFonts w:ascii="Times New Roman" w:hAnsi="Times New Roman"/>
          <w:sz w:val="28"/>
        </w:rPr>
        <w:t>ионности части первой статьи 42 Уголовно-процессуального кодекса Российской Федерации в связи с жалобой гражданина А.С. Ткаченко» лица, вовлекаемые в процесс дачи взятки, выступают в качестве субъекта незаконного воздействия, а потому могут считаться потер</w:t>
      </w:r>
      <w:r>
        <w:rPr>
          <w:rFonts w:ascii="Times New Roman" w:hAnsi="Times New Roman"/>
          <w:sz w:val="28"/>
        </w:rPr>
        <w:t xml:space="preserve">певшими по уголовным делам, при условии что их действия не образуют состава коррупционного преступления.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Таким образом, лицо, которое отказалось от предложения о даче взятки, сообщило о данном факте в правоохранительные органы и </w:t>
      </w:r>
      <w:r>
        <w:rPr>
          <w:rFonts w:ascii="Times New Roman" w:hAnsi="Times New Roman"/>
          <w:sz w:val="28"/>
        </w:rPr>
        <w:lastRenderedPageBreak/>
        <w:t xml:space="preserve">содействовало изобличению </w:t>
      </w:r>
      <w:r>
        <w:rPr>
          <w:rFonts w:ascii="Times New Roman" w:hAnsi="Times New Roman"/>
          <w:sz w:val="28"/>
        </w:rPr>
        <w:t xml:space="preserve">виновных, может быть признано потерпевшим по уголовным делам о таких преступлениях, а соответственно наделено правами, предусмотренными ст. 42 УПК РФ, в числе которых право требовать возмещения причиненного ему вреда. </w:t>
      </w:r>
    </w:p>
    <w:p w:rsidR="00103907" w:rsidRDefault="001039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 1 марта 2025 года урегулирован пор</w:t>
      </w:r>
      <w:r>
        <w:rPr>
          <w:rFonts w:ascii="Times New Roman" w:hAnsi="Times New Roman"/>
          <w:b/>
          <w:sz w:val="28"/>
        </w:rPr>
        <w:t xml:space="preserve">ядок освоения земельных участков из состава земель населенных пунктов и их использования </w:t>
      </w:r>
    </w:p>
    <w:p w:rsidR="00103907" w:rsidRDefault="001039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 освоением такого земельного участка понимается выполнение правообладателем земельного участка одного или нескольких мероприятий по приведению земельного участка </w:t>
      </w:r>
      <w:r>
        <w:rPr>
          <w:rFonts w:ascii="Times New Roman" w:hAnsi="Times New Roman"/>
          <w:sz w:val="28"/>
        </w:rPr>
        <w:t xml:space="preserve">в состояние, пригодное для его использования в соответствии с целевым назначением и разрешенным использованием.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Положения об освоении земельных участков, расположенных в границах населенных пунктов, применяются к садовым земельным участкам и огородным зем</w:t>
      </w:r>
      <w:r>
        <w:rPr>
          <w:rFonts w:ascii="Times New Roman" w:hAnsi="Times New Roman"/>
          <w:sz w:val="28"/>
        </w:rPr>
        <w:t xml:space="preserve">ельным участкам независимо от их принадлежности к определенной категории земель.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 освоения земельного участка по общему правилу составляет 3 года. Правообладатель земельного участка приступает к использованию этого земельного участка в соответствии с </w:t>
      </w:r>
      <w:r>
        <w:rPr>
          <w:rFonts w:ascii="Times New Roman" w:hAnsi="Times New Roman"/>
          <w:sz w:val="28"/>
        </w:rPr>
        <w:t xml:space="preserve">его целевым назначением и разрешенным использованием со дня приобретения прав на него, а в случае, если требуется освоение этого земельного участка, - не позднее трех лет с указанной даты.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мероприятий по освоению садовых земельных участков и огор</w:t>
      </w:r>
      <w:r>
        <w:rPr>
          <w:rFonts w:ascii="Times New Roman" w:hAnsi="Times New Roman"/>
          <w:sz w:val="28"/>
        </w:rPr>
        <w:t xml:space="preserve">одных земельных участков, а также признаки неиспользования таких земельных участков устанавливаются Правительством Российской Федерации. </w:t>
      </w:r>
    </w:p>
    <w:p w:rsidR="00103907" w:rsidRDefault="001039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03907" w:rsidRDefault="00A90BE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Как составить исковое заявление о включении периода работы в стаж для назначения страховой пенсии? </w:t>
      </w:r>
    </w:p>
    <w:p w:rsidR="00103907" w:rsidRDefault="001039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Исковое заявлени</w:t>
      </w:r>
      <w:r>
        <w:rPr>
          <w:rFonts w:ascii="Times New Roman" w:hAnsi="Times New Roman"/>
          <w:sz w:val="28"/>
        </w:rPr>
        <w:t>е о включении в страховой стаж периода работы, не учтенного в целях назначения страховой пенсии, подается в суд общей юрисдикции. При этом досудебное обжалование решений территориального органа СФР по данному вопросу в вышестоящем органе СФР необязательно.</w:t>
      </w:r>
      <w:r>
        <w:rPr>
          <w:rFonts w:ascii="Times New Roman" w:hAnsi="Times New Roman"/>
          <w:sz w:val="28"/>
        </w:rPr>
        <w:t xml:space="preserve">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обращении в суд с указанным исковым заявлением следует придерживаться следующего алгоритма.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исковом заявлении необходимо указать: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наименование суда, в который подается заявление;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сведения об истце: ваши фамилия, имя, отчество, дату и место р</w:t>
      </w:r>
      <w:r>
        <w:rPr>
          <w:rFonts w:ascii="Times New Roman" w:hAnsi="Times New Roman"/>
          <w:sz w:val="28"/>
        </w:rPr>
        <w:t xml:space="preserve">ождения, место жительства или место пребывания и один из идентификаторов (в частности, СНИЛС, ИНН либо серия и номер документа, удостоверяющего личность), а также по желанию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контактный телефон и адрес электронной почты. Если иск подается представителем,</w:t>
      </w:r>
      <w:r>
        <w:rPr>
          <w:rFonts w:ascii="Times New Roman" w:hAnsi="Times New Roman"/>
          <w:sz w:val="28"/>
        </w:rPr>
        <w:t xml:space="preserve"> указываются также установленные сведения о нем.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- сведения об ответчике: наименование и адрес территориального органа СФР.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информацию о том, в чем заключается нарушение ваших прав, обстоятельства, на которых вы основываете свои требования, и доказател</w:t>
      </w:r>
      <w:r>
        <w:rPr>
          <w:rFonts w:ascii="Times New Roman" w:hAnsi="Times New Roman"/>
          <w:sz w:val="28"/>
        </w:rPr>
        <w:t>ьства, подтверждающие эти обстоятельства. То есть в иске вам необходимо указать, например, конкретный спорный период работы, который не был включен в страховой стаж, обоснование, почему этот период должен быть добавлен к страховому стажу, сослаться на конк</w:t>
      </w:r>
      <w:r>
        <w:rPr>
          <w:rFonts w:ascii="Times New Roman" w:hAnsi="Times New Roman"/>
          <w:sz w:val="28"/>
        </w:rPr>
        <w:t xml:space="preserve">ретные документы, свидетелей, которые могут подтвердить ваши доводы.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ваше требование о включении конкретного периода работы в страховой стаж для назначения страховой пенсии. Данное требование может быть заявлено, в частности, дополнительно к основному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 назначении страховой пенсии по старости, в том числе досрочно.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исковому заявлению необходимо приложить следующие документы: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уведомление о вручении или иные документы, подтверждающие направление другим лицам, участвующим в деле, копий искового заявления и приложенных к нему документов;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доверенность или иной документ, удостоверяющий полномочия представителя (при наличии пред</w:t>
      </w:r>
      <w:r>
        <w:rPr>
          <w:rFonts w:ascii="Times New Roman" w:hAnsi="Times New Roman"/>
          <w:sz w:val="28"/>
        </w:rPr>
        <w:t xml:space="preserve">ставителя);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копии документов, подтверждающих обстоятельства, на которых вы основываете своё требование (трудовой книжки, трудового договора, гражданско-правового договора и др.); - документ, подтверждающий уплату госпошлины или право на получение льготы</w:t>
      </w:r>
      <w:r>
        <w:rPr>
          <w:rFonts w:ascii="Times New Roman" w:hAnsi="Times New Roman"/>
          <w:sz w:val="28"/>
        </w:rPr>
        <w:t xml:space="preserve"> по ее уплате, либо ходатайство о предоставлении отсрочки, рассрочки, об уменьшении размера госпошлины или об освобождении от ее уплаты.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Исковое заявление о включении периода работы в стаж для назначения страховой пенсии необходимо подать в районный суд п</w:t>
      </w:r>
      <w:r>
        <w:rPr>
          <w:rFonts w:ascii="Times New Roman" w:hAnsi="Times New Roman"/>
          <w:sz w:val="28"/>
        </w:rPr>
        <w:t xml:space="preserve">о адресу территориального органа СФР, отказавшего вам во включении конкретного периода работы в страховой стаж.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общему правилу суд рассматривает и разрешает дело до истечения двух месяцев со дня поступления заявления в суд.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зависимости от сложности </w:t>
      </w:r>
      <w:r>
        <w:rPr>
          <w:rFonts w:ascii="Times New Roman" w:hAnsi="Times New Roman"/>
          <w:sz w:val="28"/>
        </w:rPr>
        <w:t xml:space="preserve">дела срок его рассмотрения может быть продлен не более чем на месяц.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Решение суда вступает в законную силу по истечении месяца со дня его изготовления в окончательной форме, если оно не было обжаловано.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подачи апелляционной жалобы решение вступа</w:t>
      </w:r>
      <w:r>
        <w:rPr>
          <w:rFonts w:ascii="Times New Roman" w:hAnsi="Times New Roman"/>
          <w:sz w:val="28"/>
        </w:rPr>
        <w:t xml:space="preserve">ет в законную силу после рассмотрения судом такой жалобы, если обжалуемое решение не было отменено. Если решение суда первой инстанции было отменено или изменено и принято новое решение, оно вступает в законную силу немедленно. </w:t>
      </w:r>
    </w:p>
    <w:p w:rsidR="00103907" w:rsidRDefault="001039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03907" w:rsidRDefault="00A90BE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выплатах лицам, осуществ</w:t>
      </w:r>
      <w:r>
        <w:rPr>
          <w:rFonts w:ascii="Times New Roman" w:hAnsi="Times New Roman"/>
          <w:b/>
          <w:sz w:val="28"/>
        </w:rPr>
        <w:t xml:space="preserve">ляющим уход за детьми-инвалидами </w:t>
      </w:r>
    </w:p>
    <w:p w:rsidR="00103907" w:rsidRDefault="001039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Указом Президента Российской Федерации с 01.01.2025 ежемесячные выплаты в размере 10 000 рублей распространены </w:t>
      </w:r>
      <w:r>
        <w:rPr>
          <w:rFonts w:ascii="Times New Roman" w:hAnsi="Times New Roman"/>
          <w:sz w:val="28"/>
        </w:rPr>
        <w:lastRenderedPageBreak/>
        <w:t>на всех трудоспособных лиц, осуществляющих уход за ребенком-инвалидом в возрасте до 18 лет ил</w:t>
      </w:r>
      <w:r>
        <w:rPr>
          <w:rFonts w:ascii="Times New Roman" w:hAnsi="Times New Roman"/>
          <w:sz w:val="28"/>
        </w:rPr>
        <w:t xml:space="preserve">и инвалидом с детства I группы.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Ранее указанную выплату получали родители (усыновители) или опекуны (попечители), неработающие или осуществляющие трудовую деятельность на условиях неполного рабочего времени, в том числе на указанных условиях дистанционно</w:t>
      </w:r>
      <w:r>
        <w:rPr>
          <w:rFonts w:ascii="Times New Roman" w:hAnsi="Times New Roman"/>
          <w:sz w:val="28"/>
        </w:rPr>
        <w:t xml:space="preserve"> и на дому. Другим неработающим лицам размер выплаты составлял 1200 рублей. Также предусмотрена индексация указанной выплаты с 1 февраля текущего года. </w:t>
      </w:r>
    </w:p>
    <w:p w:rsidR="00103907" w:rsidRDefault="001039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03907" w:rsidRDefault="00A90BE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 21 апреля 2025 года расширен перечень уголовных дел, которые могут рассмотреть в отсутствие подсудим</w:t>
      </w:r>
      <w:r>
        <w:rPr>
          <w:rFonts w:ascii="Times New Roman" w:hAnsi="Times New Roman"/>
          <w:b/>
          <w:sz w:val="28"/>
        </w:rPr>
        <w:t xml:space="preserve">ого </w:t>
      </w:r>
    </w:p>
    <w:p w:rsidR="00103907" w:rsidRDefault="0010390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Федеральный закон от 21.04.2025 № 101-ФЗ «О внесении изменений в статью 247 Уголовно-процессуального кодекса Российской Федерации» расширил перечень уголовных дел, которые могут быть рассмотрены в отсутствие подсудимого, который находится за рубежом </w:t>
      </w:r>
      <w:r>
        <w:rPr>
          <w:rFonts w:ascii="Times New Roman" w:hAnsi="Times New Roman"/>
          <w:sz w:val="28"/>
        </w:rPr>
        <w:t xml:space="preserve">и (или) уклоняется от явки в суд.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перечень включили некоторые дела небольшой и средней тяжести, например: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публичное оправдание терроризма;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призывы к массовым беспорядкам и экстремизму;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неоднократная пропаганда нацистской символики;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участие в</w:t>
      </w:r>
      <w:r>
        <w:rPr>
          <w:rFonts w:ascii="Times New Roman" w:hAnsi="Times New Roman"/>
          <w:sz w:val="28"/>
        </w:rPr>
        <w:t xml:space="preserve"> деятельности нежелательной международной организации;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призывы к санкциям.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Федеральный закон вступил в силу со дня его официального опубликования 21.04.2025. </w:t>
      </w:r>
    </w:p>
    <w:p w:rsidR="00103907" w:rsidRDefault="001039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03907" w:rsidRDefault="00A90BE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 институте наставничества в сфере профилактики безнадзорности и правонарушений несовершеннолетних </w:t>
      </w:r>
    </w:p>
    <w:p w:rsidR="00103907" w:rsidRDefault="001039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Согласно Федеральному закону от 8 августа 2024 года № 322-ФЗ </w:t>
      </w:r>
      <w:r>
        <w:br/>
      </w:r>
      <w:r>
        <w:rPr>
          <w:rFonts w:ascii="Times New Roman" w:hAnsi="Times New Roman"/>
          <w:sz w:val="28"/>
        </w:rPr>
        <w:t>«О внесении изменений в отдельные законодательные акты Российской Федерации» предусмотрены с</w:t>
      </w:r>
      <w:r>
        <w:rPr>
          <w:rFonts w:ascii="Times New Roman" w:hAnsi="Times New Roman"/>
          <w:sz w:val="28"/>
        </w:rPr>
        <w:t xml:space="preserve">ледующие нововведения: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создание ГИС профилактики безнадзорности и правонарушений несовершеннолетних;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введение института наставничества в указанной сфере;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формирование реестра наставников;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запрет на участие </w:t>
      </w:r>
      <w:proofErr w:type="spellStart"/>
      <w:r>
        <w:rPr>
          <w:rFonts w:ascii="Times New Roman" w:hAnsi="Times New Roman"/>
          <w:sz w:val="28"/>
        </w:rPr>
        <w:t>иноагентов</w:t>
      </w:r>
      <w:proofErr w:type="spellEnd"/>
      <w:r>
        <w:rPr>
          <w:rFonts w:ascii="Times New Roman" w:hAnsi="Times New Roman"/>
          <w:sz w:val="28"/>
        </w:rPr>
        <w:t xml:space="preserve"> в деятельности по профилакт</w:t>
      </w:r>
      <w:r>
        <w:rPr>
          <w:rFonts w:ascii="Times New Roman" w:hAnsi="Times New Roman"/>
          <w:sz w:val="28"/>
        </w:rPr>
        <w:t xml:space="preserve">ике безнадзорности и правонарушений несовершеннолетних;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использование ЕИС в сфере развития добровольчества (</w:t>
      </w:r>
      <w:proofErr w:type="spellStart"/>
      <w:r>
        <w:rPr>
          <w:rFonts w:ascii="Times New Roman" w:hAnsi="Times New Roman"/>
          <w:sz w:val="28"/>
        </w:rPr>
        <w:t>волонтерства</w:t>
      </w:r>
      <w:proofErr w:type="spellEnd"/>
      <w:r>
        <w:rPr>
          <w:rFonts w:ascii="Times New Roman" w:hAnsi="Times New Roman"/>
          <w:sz w:val="28"/>
        </w:rPr>
        <w:t xml:space="preserve">) в целях профилактики безнадзорности и правонарушений несовершеннолетних.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Наставников назначает комиссия по делам несовершеннолетни</w:t>
      </w:r>
      <w:r>
        <w:rPr>
          <w:rFonts w:ascii="Times New Roman" w:hAnsi="Times New Roman"/>
          <w:sz w:val="28"/>
        </w:rPr>
        <w:t xml:space="preserve">х и защите их прав с согласия несовершеннолетнего и его родителей. В новую ГИС вносятся сведения о несовершеннолетних, находящихся в трудной </w:t>
      </w:r>
      <w:r>
        <w:rPr>
          <w:rFonts w:ascii="Times New Roman" w:hAnsi="Times New Roman"/>
          <w:sz w:val="28"/>
        </w:rPr>
        <w:lastRenderedPageBreak/>
        <w:t>жизненной ситуации, социально опасном положении, нуждающихся в индивидуальной профилактической работе, и их родител</w:t>
      </w:r>
      <w:r>
        <w:rPr>
          <w:rFonts w:ascii="Times New Roman" w:hAnsi="Times New Roman"/>
          <w:sz w:val="28"/>
        </w:rPr>
        <w:t xml:space="preserve">ях или иных законных представителях. </w:t>
      </w:r>
    </w:p>
    <w:p w:rsidR="00103907" w:rsidRDefault="001039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03907" w:rsidRDefault="00A90BE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Порядок замены прибора учета потребления природного газа в жилом помещении многоквартирного дома </w:t>
      </w:r>
    </w:p>
    <w:p w:rsidR="00103907" w:rsidRDefault="001039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п.81 Правил предоставления коммунальных услуг собственникам и пользователям помещений в многоквартирн</w:t>
      </w:r>
      <w:r>
        <w:rPr>
          <w:rFonts w:ascii="Times New Roman" w:hAnsi="Times New Roman"/>
          <w:sz w:val="28"/>
        </w:rPr>
        <w:t>ых домах и жилых домов, утвержденных постановлением Правительства Российской Федерации от 06.05.2011 № 354, оснащение жилого помещения приборами учета природного газа, ввод установленных приборов учета в эксплуатацию, их надлежащая техническая эксплуатация</w:t>
      </w:r>
      <w:r>
        <w:rPr>
          <w:rFonts w:ascii="Times New Roman" w:hAnsi="Times New Roman"/>
          <w:sz w:val="28"/>
        </w:rPr>
        <w:t>, сохранность и своевременная замена должны быть обеспечены собственником помещения.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Замена индивидуального прибора учета газа осуществляется на основании договора с </w:t>
      </w:r>
      <w:proofErr w:type="spellStart"/>
      <w:r>
        <w:rPr>
          <w:rFonts w:ascii="Times New Roman" w:hAnsi="Times New Roman"/>
          <w:sz w:val="28"/>
        </w:rPr>
        <w:t>ресурсоснабжающей</w:t>
      </w:r>
      <w:proofErr w:type="spellEnd"/>
      <w:r>
        <w:rPr>
          <w:rFonts w:ascii="Times New Roman" w:hAnsi="Times New Roman"/>
          <w:sz w:val="28"/>
        </w:rPr>
        <w:t xml:space="preserve"> организацией. Согласно п. 7 Порядка заключения и существенных условий до</w:t>
      </w:r>
      <w:r>
        <w:rPr>
          <w:rFonts w:ascii="Times New Roman" w:hAnsi="Times New Roman"/>
          <w:sz w:val="28"/>
        </w:rPr>
        <w:t>говора, регулирующего условия установки, замены и (или) эксплуатации приборов учета используемых энергетических ресурсов, утвержденного приказом Министерства энергетики Российской Федерации от 07.04.2010 № 149, к заявке абонента – физического лица необходи</w:t>
      </w:r>
      <w:r>
        <w:rPr>
          <w:rFonts w:ascii="Times New Roman" w:hAnsi="Times New Roman"/>
          <w:sz w:val="28"/>
        </w:rPr>
        <w:t>мо приложить копии документов, подтверждающих право собственности на объект, подлежащий оснащению прибором учета, документы, подтверждающие полномочия лица, подписавшего заявку, если заявка подписана не собственником.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Демонтаж прибора учета потребления при</w:t>
      </w:r>
      <w:r>
        <w:rPr>
          <w:rFonts w:ascii="Times New Roman" w:hAnsi="Times New Roman"/>
          <w:sz w:val="28"/>
        </w:rPr>
        <w:t xml:space="preserve">родного газа проводится в присутствии поставщика газа с целью снятия показаний прибора учета, проверки сохранности контрольных пломб прибора учета при демонтаже и установке нового прибора учета. </w:t>
      </w:r>
    </w:p>
    <w:p w:rsidR="00103907" w:rsidRDefault="001039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03907" w:rsidRDefault="00A90BE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Туристически</w:t>
      </w:r>
      <w:proofErr w:type="spellEnd"/>
      <w:r>
        <w:rPr>
          <w:rFonts w:ascii="Times New Roman" w:hAnsi="Times New Roman"/>
          <w:b/>
          <w:sz w:val="28"/>
        </w:rPr>
        <w:t xml:space="preserve"> налог</w:t>
      </w:r>
    </w:p>
    <w:p w:rsidR="00103907" w:rsidRDefault="001039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Туристический налог - это новый местный</w:t>
      </w:r>
      <w:r>
        <w:rPr>
          <w:rFonts w:ascii="Times New Roman" w:hAnsi="Times New Roman"/>
          <w:sz w:val="28"/>
        </w:rPr>
        <w:t xml:space="preserve"> налог, который с 2025 г. заменил курортный сбор, ранее действовавший на территории ряда субъектов РФ (п. 4 ст. 15 НК РФ; ч. 2 ст. 8 Закона от 12.07.2024 № 176-ФЗ; ч. 1, 2 ст. 1, ч. 1 ст. 2 Закона от 29.07.2017 № 214-ФЗ).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о введении туристического</w:t>
      </w:r>
      <w:r>
        <w:rPr>
          <w:rFonts w:ascii="Times New Roman" w:hAnsi="Times New Roman"/>
          <w:sz w:val="28"/>
        </w:rPr>
        <w:t xml:space="preserve"> налога на территории муниципального образования утверждается НПА представительного органа власти муниципального образования, в Москве, Санкт-Петербурге и Севастополе - законом этих субъектов РФ, на федеральной территории «Сириус» - НПА ее представительног</w:t>
      </w:r>
      <w:r>
        <w:rPr>
          <w:rFonts w:ascii="Times New Roman" w:hAnsi="Times New Roman"/>
          <w:sz w:val="28"/>
        </w:rPr>
        <w:t xml:space="preserve">о органа (п. 1 ст. 418.1 НК РФ).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Налог исчисляют организации и </w:t>
      </w:r>
      <w:proofErr w:type="spellStart"/>
      <w:r>
        <w:rPr>
          <w:rFonts w:ascii="Times New Roman" w:hAnsi="Times New Roman"/>
          <w:sz w:val="28"/>
        </w:rPr>
        <w:t>физлица</w:t>
      </w:r>
      <w:proofErr w:type="spellEnd"/>
      <w:r>
        <w:rPr>
          <w:rFonts w:ascii="Times New Roman" w:hAnsi="Times New Roman"/>
          <w:sz w:val="28"/>
        </w:rPr>
        <w:t>, оказывающие услуги по предоставлению мест для временного проживания граждан в средствах размещения, которые включены в реестр классифицированных средств размещения. Сумму налога опред</w:t>
      </w:r>
      <w:r>
        <w:rPr>
          <w:rFonts w:ascii="Times New Roman" w:hAnsi="Times New Roman"/>
          <w:sz w:val="28"/>
        </w:rPr>
        <w:t xml:space="preserve">еляют при окончательном расчете с лицом, которое приобретает такую услугу (ст. ст. 418.2, 418.3, п. 1 ст. 418.7 НК РФ).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 2025 г. ставка налога не может превышать 1% стоимости услуги без учета туристического налога и НДС. Конкретный размер ставки устанавл</w:t>
      </w:r>
      <w:r>
        <w:rPr>
          <w:rFonts w:ascii="Times New Roman" w:hAnsi="Times New Roman"/>
          <w:sz w:val="28"/>
        </w:rPr>
        <w:t>ивается НПА представительных органов муниципальных образований (законами Москвы, Санкт-Петербурга и Севастополя, НПА представительного органа федеральной территории «Сириус»). Ставки могут быть дифференцированы с учетом сезонности (применительно к календар</w:t>
      </w:r>
      <w:r>
        <w:rPr>
          <w:rFonts w:ascii="Times New Roman" w:hAnsi="Times New Roman"/>
          <w:sz w:val="28"/>
        </w:rPr>
        <w:t>ным месяцам, составляющим соответствующие налоговые периоды) и (или) категории средства размещения (п. 4 ст. 6.1, п. 1 ст. 418.4, ст. 418.5, 418.6 НК РФ; Письмо Минфина России от 29.11.2024 N 03-05-08/119737, направленное Письмом ФНС России от 11.12.2024 N</w:t>
      </w:r>
      <w:r>
        <w:rPr>
          <w:rFonts w:ascii="Times New Roman" w:hAnsi="Times New Roman"/>
          <w:sz w:val="28"/>
        </w:rPr>
        <w:t xml:space="preserve"> СД-4-3/14059@).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Минимальный налог составляет 100 руб. за сутки проживания (п. 1 ст. 418.7 НК РФ).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 облагаются налогом услуги по временному проживанию граждан льготных категорий, если они предъявят документы, подтверждающие их статус.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таким категори</w:t>
      </w:r>
      <w:r>
        <w:rPr>
          <w:rFonts w:ascii="Times New Roman" w:hAnsi="Times New Roman"/>
          <w:sz w:val="28"/>
        </w:rPr>
        <w:t xml:space="preserve">ям относятся, например (п. 2 ст. 418.4 НК РФ):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Герои Советского Союза, Герои РФ, полные кавалеры ордена Славы;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Герои Социалистического Труда, Герои Труда РФ или лица, награжденные орденом Трудовой Славы трех степеней;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участники и инвалиды ВОВ;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ветераны и инвалиды боевых действий;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инвалиды I и II групп, инвалиды с детства, дети-инвалиды.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Представительные органы муниципальных образований (законодательные органы Москвы, Санкт-Петербурга и Севастополя, представительный орган федеральной тер</w:t>
      </w:r>
      <w:r>
        <w:rPr>
          <w:rFonts w:ascii="Times New Roman" w:hAnsi="Times New Roman"/>
          <w:sz w:val="28"/>
        </w:rPr>
        <w:t xml:space="preserve">ритории «Сириус») вправе устанавливать дополнительные категории таких граждан (п. 3 ст. 418.4 НК РФ). </w:t>
      </w:r>
    </w:p>
    <w:p w:rsidR="00103907" w:rsidRDefault="001039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03907" w:rsidRDefault="00A90BE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Сохранение прожиточного минимума по исполнительному производству</w:t>
      </w:r>
    </w:p>
    <w:p w:rsidR="00103907" w:rsidRDefault="0010390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Федеральному закону «Об исполнительном производстве» от 02.10.2007 № 229-ФЗ с</w:t>
      </w:r>
      <w:r>
        <w:rPr>
          <w:rFonts w:ascii="Times New Roman" w:hAnsi="Times New Roman"/>
          <w:sz w:val="28"/>
        </w:rPr>
        <w:t>удебные приставы имеют право взыскивать долги с доходов должника. Однако законодательство предусматривает ряд ограничений, направленных на защиту интересов должника и его семьи. Судебные приставы могут удерживать до 50% заработной платы или иного дохода до</w:t>
      </w:r>
      <w:r>
        <w:rPr>
          <w:rFonts w:ascii="Times New Roman" w:hAnsi="Times New Roman"/>
          <w:sz w:val="28"/>
        </w:rPr>
        <w:t xml:space="preserve">лжника для погашения долга. </w:t>
      </w:r>
    </w:p>
    <w:p w:rsidR="00103907" w:rsidRDefault="00A90B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некоторых случаях, например, при взыскании алиментов, ущерба, причиненного преступлением, эта доля может достигать 70%. Для сохранения прожиточного минимума должник имеет право подать заявление судебному приставу-исполнителю,</w:t>
      </w:r>
      <w:r>
        <w:rPr>
          <w:rFonts w:ascii="Times New Roman" w:hAnsi="Times New Roman"/>
          <w:sz w:val="28"/>
        </w:rPr>
        <w:t xml:space="preserve"> к которому необходимо приложить документы, подтверждающие доходы и расходы, а также указать причины, по которым оставление данной суммы является необходимым. Кроме того, должник может обратиться в суд с заявлением об уменьшении размера удержаний или измен</w:t>
      </w:r>
      <w:r>
        <w:rPr>
          <w:rFonts w:ascii="Times New Roman" w:hAnsi="Times New Roman"/>
          <w:sz w:val="28"/>
        </w:rPr>
        <w:t xml:space="preserve">ении порядка взыскания долга. Если судебный пристав </w:t>
      </w:r>
      <w:r>
        <w:rPr>
          <w:rFonts w:ascii="Times New Roman" w:hAnsi="Times New Roman"/>
          <w:sz w:val="28"/>
        </w:rPr>
        <w:lastRenderedPageBreak/>
        <w:t>нарушает права должника, последний может обжаловать его действия в вышестоящем органе, суде либо прокуратуре. Для этого нужно составить жалобу, приложив к ней доказательства нарушений (например, копии док</w:t>
      </w:r>
      <w:r>
        <w:rPr>
          <w:rFonts w:ascii="Times New Roman" w:hAnsi="Times New Roman"/>
          <w:sz w:val="28"/>
        </w:rPr>
        <w:t xml:space="preserve">ументов, подтверждающих доходы и расходы). </w:t>
      </w:r>
    </w:p>
    <w:sectPr w:rsidR="00103907" w:rsidSect="00103907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03907"/>
    <w:rsid w:val="00103907"/>
    <w:rsid w:val="00A90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103907"/>
  </w:style>
  <w:style w:type="paragraph" w:styleId="10">
    <w:name w:val="heading 1"/>
    <w:basedOn w:val="a"/>
    <w:next w:val="a"/>
    <w:link w:val="11"/>
    <w:uiPriority w:val="9"/>
    <w:qFormat/>
    <w:rsid w:val="00103907"/>
    <w:pPr>
      <w:keepNext/>
      <w:keepLines/>
      <w:spacing w:before="360" w:after="80"/>
      <w:outlineLvl w:val="0"/>
    </w:pPr>
    <w:rPr>
      <w:rFonts w:asciiTheme="majorHAnsi" w:hAnsiTheme="majorHAnsi"/>
      <w:color w:val="2F5496" w:themeColor="accent1" w:themeShade="BF"/>
      <w:sz w:val="40"/>
    </w:rPr>
  </w:style>
  <w:style w:type="paragraph" w:styleId="2">
    <w:name w:val="heading 2"/>
    <w:basedOn w:val="a"/>
    <w:next w:val="a"/>
    <w:link w:val="20"/>
    <w:uiPriority w:val="9"/>
    <w:qFormat/>
    <w:rsid w:val="00103907"/>
    <w:pPr>
      <w:keepNext/>
      <w:keepLines/>
      <w:spacing w:before="160" w:after="80"/>
      <w:outlineLvl w:val="1"/>
    </w:pPr>
    <w:rPr>
      <w:rFonts w:asciiTheme="majorHAnsi" w:hAnsiTheme="majorHAnsi"/>
      <w:color w:val="2F5496" w:themeColor="accent1" w:themeShade="BF"/>
      <w:sz w:val="32"/>
    </w:rPr>
  </w:style>
  <w:style w:type="paragraph" w:styleId="3">
    <w:name w:val="heading 3"/>
    <w:basedOn w:val="a"/>
    <w:next w:val="a"/>
    <w:link w:val="30"/>
    <w:uiPriority w:val="9"/>
    <w:qFormat/>
    <w:rsid w:val="00103907"/>
    <w:pPr>
      <w:keepNext/>
      <w:keepLines/>
      <w:spacing w:before="160" w:after="80"/>
      <w:outlineLvl w:val="2"/>
    </w:pPr>
    <w:rPr>
      <w:color w:val="2F5496" w:themeColor="accent1" w:themeShade="BF"/>
      <w:sz w:val="28"/>
    </w:rPr>
  </w:style>
  <w:style w:type="paragraph" w:styleId="4">
    <w:name w:val="heading 4"/>
    <w:basedOn w:val="a"/>
    <w:next w:val="a"/>
    <w:link w:val="40"/>
    <w:uiPriority w:val="9"/>
    <w:qFormat/>
    <w:rsid w:val="00103907"/>
    <w:pPr>
      <w:keepNext/>
      <w:keepLines/>
      <w:spacing w:before="80" w:after="40"/>
      <w:outlineLvl w:val="3"/>
    </w:pPr>
    <w:rPr>
      <w:i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qFormat/>
    <w:rsid w:val="00103907"/>
    <w:pPr>
      <w:keepNext/>
      <w:keepLines/>
      <w:spacing w:before="80" w:after="4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qFormat/>
    <w:rsid w:val="00103907"/>
    <w:pPr>
      <w:keepNext/>
      <w:keepLines/>
      <w:spacing w:before="40" w:after="0"/>
      <w:outlineLvl w:val="5"/>
    </w:pPr>
    <w:rPr>
      <w:i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qFormat/>
    <w:rsid w:val="00103907"/>
    <w:pPr>
      <w:keepNext/>
      <w:keepLines/>
      <w:spacing w:before="40" w:after="0"/>
      <w:outlineLvl w:val="6"/>
    </w:pPr>
    <w:rPr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qFormat/>
    <w:rsid w:val="00103907"/>
    <w:pPr>
      <w:keepNext/>
      <w:keepLines/>
      <w:spacing w:after="0"/>
      <w:outlineLvl w:val="7"/>
    </w:pPr>
    <w:rPr>
      <w:i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qFormat/>
    <w:rsid w:val="00103907"/>
    <w:pPr>
      <w:keepNext/>
      <w:keepLines/>
      <w:spacing w:after="0"/>
      <w:outlineLvl w:val="8"/>
    </w:pPr>
    <w:rPr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03907"/>
  </w:style>
  <w:style w:type="paragraph" w:customStyle="1" w:styleId="12">
    <w:name w:val="Сильная ссылка1"/>
    <w:basedOn w:val="13"/>
    <w:link w:val="a3"/>
    <w:rsid w:val="00103907"/>
    <w:rPr>
      <w:b/>
      <w:smallCaps/>
      <w:color w:val="2F5496" w:themeColor="accent1" w:themeShade="BF"/>
      <w:spacing w:val="5"/>
    </w:rPr>
  </w:style>
  <w:style w:type="character" w:styleId="a3">
    <w:name w:val="Intense Reference"/>
    <w:basedOn w:val="a0"/>
    <w:link w:val="12"/>
    <w:rsid w:val="00103907"/>
    <w:rPr>
      <w:b/>
      <w:smallCaps/>
      <w:color w:val="2F5496" w:themeColor="accent1" w:themeShade="BF"/>
      <w:spacing w:val="5"/>
    </w:rPr>
  </w:style>
  <w:style w:type="paragraph" w:styleId="21">
    <w:name w:val="toc 2"/>
    <w:next w:val="a"/>
    <w:link w:val="22"/>
    <w:uiPriority w:val="39"/>
    <w:rsid w:val="0010390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0390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0390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03907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103907"/>
    <w:rPr>
      <w:color w:val="595959" w:themeColor="text1" w:themeTint="A6"/>
    </w:rPr>
  </w:style>
  <w:style w:type="paragraph" w:styleId="61">
    <w:name w:val="toc 6"/>
    <w:next w:val="a"/>
    <w:link w:val="62"/>
    <w:uiPriority w:val="39"/>
    <w:rsid w:val="00103907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103907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103907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103907"/>
    <w:rPr>
      <w:rFonts w:ascii="XO Thames" w:hAnsi="XO Thames"/>
      <w:sz w:val="28"/>
    </w:rPr>
  </w:style>
  <w:style w:type="paragraph" w:customStyle="1" w:styleId="14">
    <w:name w:val="Сильное выделение1"/>
    <w:basedOn w:val="13"/>
    <w:link w:val="a4"/>
    <w:rsid w:val="00103907"/>
    <w:rPr>
      <w:i/>
      <w:color w:val="2F5496" w:themeColor="accent1" w:themeShade="BF"/>
    </w:rPr>
  </w:style>
  <w:style w:type="character" w:styleId="a4">
    <w:name w:val="Intense Emphasis"/>
    <w:basedOn w:val="a0"/>
    <w:link w:val="14"/>
    <w:rsid w:val="00103907"/>
    <w:rPr>
      <w:i/>
      <w:color w:val="2F5496" w:themeColor="accent1" w:themeShade="BF"/>
    </w:rPr>
  </w:style>
  <w:style w:type="paragraph" w:customStyle="1" w:styleId="Endnote">
    <w:name w:val="Endnote"/>
    <w:link w:val="Endnote0"/>
    <w:rsid w:val="00103907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103907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103907"/>
    <w:rPr>
      <w:color w:val="2F5496" w:themeColor="accent1" w:themeShade="BF"/>
      <w:sz w:val="28"/>
    </w:rPr>
  </w:style>
  <w:style w:type="paragraph" w:styleId="a5">
    <w:name w:val="List Paragraph"/>
    <w:basedOn w:val="a"/>
    <w:link w:val="a6"/>
    <w:rsid w:val="00103907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103907"/>
  </w:style>
  <w:style w:type="paragraph" w:styleId="23">
    <w:name w:val="Quote"/>
    <w:basedOn w:val="a"/>
    <w:next w:val="a"/>
    <w:link w:val="24"/>
    <w:rsid w:val="00103907"/>
    <w:pPr>
      <w:spacing w:before="160"/>
      <w:jc w:val="center"/>
    </w:pPr>
    <w:rPr>
      <w:i/>
      <w:color w:val="404040" w:themeColor="text1" w:themeTint="BF"/>
    </w:rPr>
  </w:style>
  <w:style w:type="character" w:customStyle="1" w:styleId="24">
    <w:name w:val="Цитата 2 Знак"/>
    <w:basedOn w:val="1"/>
    <w:link w:val="23"/>
    <w:rsid w:val="00103907"/>
    <w:rPr>
      <w:i/>
      <w:color w:val="404040" w:themeColor="text1" w:themeTint="BF"/>
    </w:rPr>
  </w:style>
  <w:style w:type="character" w:customStyle="1" w:styleId="90">
    <w:name w:val="Заголовок 9 Знак"/>
    <w:basedOn w:val="1"/>
    <w:link w:val="9"/>
    <w:rsid w:val="00103907"/>
    <w:rPr>
      <w:color w:val="272727" w:themeColor="text1" w:themeTint="D8"/>
    </w:rPr>
  </w:style>
  <w:style w:type="paragraph" w:styleId="a7">
    <w:name w:val="Intense Quote"/>
    <w:basedOn w:val="a"/>
    <w:next w:val="a"/>
    <w:link w:val="a8"/>
    <w:rsid w:val="00103907"/>
    <w:pPr>
      <w:spacing w:before="360" w:after="360"/>
      <w:ind w:left="864" w:right="864"/>
      <w:jc w:val="center"/>
    </w:pPr>
    <w:rPr>
      <w:i/>
      <w:color w:val="2F5496" w:themeColor="accent1" w:themeShade="BF"/>
    </w:rPr>
  </w:style>
  <w:style w:type="character" w:customStyle="1" w:styleId="a8">
    <w:name w:val="Выделенная цитата Знак"/>
    <w:basedOn w:val="1"/>
    <w:link w:val="a7"/>
    <w:rsid w:val="00103907"/>
    <w:rPr>
      <w:i/>
      <w:color w:val="2F5496" w:themeColor="accent1" w:themeShade="BF"/>
    </w:rPr>
  </w:style>
  <w:style w:type="paragraph" w:styleId="31">
    <w:name w:val="toc 3"/>
    <w:next w:val="a"/>
    <w:link w:val="32"/>
    <w:uiPriority w:val="39"/>
    <w:rsid w:val="0010390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03907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103907"/>
    <w:rPr>
      <w:color w:val="2F5496" w:themeColor="accent1" w:themeShade="BF"/>
    </w:rPr>
  </w:style>
  <w:style w:type="character" w:customStyle="1" w:styleId="11">
    <w:name w:val="Заголовок 1 Знак"/>
    <w:basedOn w:val="1"/>
    <w:link w:val="10"/>
    <w:rsid w:val="00103907"/>
    <w:rPr>
      <w:rFonts w:asciiTheme="majorHAnsi" w:hAnsiTheme="majorHAnsi"/>
      <w:color w:val="2F5496" w:themeColor="accent1" w:themeShade="BF"/>
      <w:sz w:val="40"/>
    </w:rPr>
  </w:style>
  <w:style w:type="paragraph" w:customStyle="1" w:styleId="15">
    <w:name w:val="Гиперссылка1"/>
    <w:link w:val="a9"/>
    <w:rsid w:val="00103907"/>
    <w:rPr>
      <w:color w:val="0000FF"/>
      <w:u w:val="single"/>
    </w:rPr>
  </w:style>
  <w:style w:type="character" w:styleId="a9">
    <w:name w:val="Hyperlink"/>
    <w:link w:val="15"/>
    <w:rsid w:val="00103907"/>
    <w:rPr>
      <w:color w:val="0000FF"/>
      <w:u w:val="single"/>
    </w:rPr>
  </w:style>
  <w:style w:type="paragraph" w:customStyle="1" w:styleId="Footnote">
    <w:name w:val="Footnote"/>
    <w:link w:val="Footnote0"/>
    <w:rsid w:val="00103907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103907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103907"/>
    <w:rPr>
      <w:i/>
      <w:color w:val="272727" w:themeColor="text1" w:themeTint="D8"/>
    </w:rPr>
  </w:style>
  <w:style w:type="paragraph" w:styleId="16">
    <w:name w:val="toc 1"/>
    <w:next w:val="a"/>
    <w:link w:val="17"/>
    <w:uiPriority w:val="39"/>
    <w:rsid w:val="00103907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10390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03907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103907"/>
    <w:rPr>
      <w:rFonts w:ascii="XO Thames" w:hAnsi="XO Thames"/>
      <w:sz w:val="28"/>
    </w:rPr>
  </w:style>
  <w:style w:type="paragraph" w:styleId="91">
    <w:name w:val="toc 9"/>
    <w:next w:val="a"/>
    <w:link w:val="92"/>
    <w:uiPriority w:val="39"/>
    <w:rsid w:val="00103907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103907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rsid w:val="00103907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103907"/>
    <w:rPr>
      <w:rFonts w:ascii="XO Thames" w:hAnsi="XO Thames"/>
      <w:sz w:val="28"/>
    </w:rPr>
  </w:style>
  <w:style w:type="paragraph" w:customStyle="1" w:styleId="13">
    <w:name w:val="Основной шрифт абзаца1"/>
    <w:link w:val="51"/>
    <w:rsid w:val="00103907"/>
  </w:style>
  <w:style w:type="paragraph" w:styleId="51">
    <w:name w:val="toc 5"/>
    <w:next w:val="a"/>
    <w:link w:val="52"/>
    <w:uiPriority w:val="39"/>
    <w:rsid w:val="0010390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03907"/>
    <w:rPr>
      <w:rFonts w:ascii="XO Thames" w:hAnsi="XO Thames"/>
      <w:sz w:val="28"/>
    </w:rPr>
  </w:style>
  <w:style w:type="paragraph" w:styleId="aa">
    <w:name w:val="Subtitle"/>
    <w:basedOn w:val="a"/>
    <w:next w:val="a"/>
    <w:link w:val="ab"/>
    <w:uiPriority w:val="11"/>
    <w:qFormat/>
    <w:rsid w:val="00103907"/>
    <w:pPr>
      <w:numPr>
        <w:ilvl w:val="1"/>
      </w:numPr>
    </w:pPr>
    <w:rPr>
      <w:color w:val="595959" w:themeColor="text1" w:themeTint="A6"/>
      <w:spacing w:val="15"/>
      <w:sz w:val="28"/>
    </w:rPr>
  </w:style>
  <w:style w:type="character" w:customStyle="1" w:styleId="ab">
    <w:name w:val="Подзаголовок Знак"/>
    <w:basedOn w:val="1"/>
    <w:link w:val="aa"/>
    <w:rsid w:val="00103907"/>
    <w:rPr>
      <w:color w:val="595959" w:themeColor="text1" w:themeTint="A6"/>
      <w:spacing w:val="15"/>
      <w:sz w:val="28"/>
    </w:rPr>
  </w:style>
  <w:style w:type="paragraph" w:styleId="ac">
    <w:name w:val="Title"/>
    <w:basedOn w:val="a"/>
    <w:next w:val="a"/>
    <w:link w:val="ad"/>
    <w:uiPriority w:val="10"/>
    <w:qFormat/>
    <w:rsid w:val="00103907"/>
    <w:pPr>
      <w:spacing w:after="80" w:line="240" w:lineRule="auto"/>
      <w:contextualSpacing/>
    </w:pPr>
    <w:rPr>
      <w:rFonts w:asciiTheme="majorHAnsi" w:hAnsiTheme="majorHAnsi"/>
      <w:spacing w:val="-10"/>
      <w:sz w:val="56"/>
    </w:rPr>
  </w:style>
  <w:style w:type="character" w:customStyle="1" w:styleId="ad">
    <w:name w:val="Название Знак"/>
    <w:basedOn w:val="1"/>
    <w:link w:val="ac"/>
    <w:rsid w:val="00103907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1"/>
    <w:link w:val="4"/>
    <w:rsid w:val="00103907"/>
    <w:rPr>
      <w:i/>
      <w:color w:val="2F5496" w:themeColor="accent1" w:themeShade="BF"/>
    </w:rPr>
  </w:style>
  <w:style w:type="character" w:customStyle="1" w:styleId="20">
    <w:name w:val="Заголовок 2 Знак"/>
    <w:basedOn w:val="1"/>
    <w:link w:val="2"/>
    <w:rsid w:val="00103907"/>
    <w:rPr>
      <w:rFonts w:asciiTheme="majorHAnsi" w:hAnsiTheme="majorHAnsi"/>
      <w:color w:val="2F5496" w:themeColor="accent1" w:themeShade="BF"/>
      <w:sz w:val="32"/>
    </w:rPr>
  </w:style>
  <w:style w:type="character" w:customStyle="1" w:styleId="60">
    <w:name w:val="Заголовок 6 Знак"/>
    <w:basedOn w:val="1"/>
    <w:link w:val="6"/>
    <w:rsid w:val="00103907"/>
    <w:rPr>
      <w:i/>
      <w:color w:val="595959" w:themeColor="text1" w:themeTint="A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6739</Words>
  <Characters>38417</Characters>
  <Application>Microsoft Office Word</Application>
  <DocSecurity>0</DocSecurity>
  <Lines>320</Lines>
  <Paragraphs>90</Paragraphs>
  <ScaleCrop>false</ScaleCrop>
  <Company>Microsoft</Company>
  <LinksUpToDate>false</LinksUpToDate>
  <CharactersWithSpaces>45066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2025-06-03T06:20:00Z</dcterms:created>
  <dcterms:modified xsi:type="dcterms:W3CDTF">2025-06-03T06:24:00Z</dcterms:modified>
</cp:coreProperties>
</file>